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EF82" w14:textId="77777777" w:rsidR="0091385B" w:rsidRDefault="00F87590">
      <w:pPr>
        <w:pStyle w:val="Ttulo2"/>
        <w:ind w:left="10" w:right="5"/>
      </w:pPr>
      <w:r>
        <w:t xml:space="preserve">TERMO DE COOPERAÇÃO TÉCNICA Nº </w:t>
      </w:r>
      <w:r>
        <w:rPr>
          <w:shd w:val="clear" w:color="auto" w:fill="FFFF00"/>
        </w:rPr>
        <w:t>XX/2025</w:t>
      </w:r>
      <w:r>
        <w:t xml:space="preserve">/CV </w:t>
      </w:r>
    </w:p>
    <w:p w14:paraId="1B574A9C" w14:textId="77777777" w:rsidR="0091385B" w:rsidRDefault="00F87590">
      <w:pPr>
        <w:ind w:left="3414" w:right="0"/>
      </w:pPr>
      <w:r>
        <w:t xml:space="preserve">Termo de Cooperação Técnica celebrado entre o Tribunal de Justiça do Estado de São Paulo e </w:t>
      </w:r>
      <w:r>
        <w:rPr>
          <w:shd w:val="clear" w:color="auto" w:fill="FFFF00"/>
        </w:rPr>
        <w:t>[</w:t>
      </w:r>
      <w:r>
        <w:rPr>
          <w:rFonts w:ascii="Arial" w:eastAsia="Arial" w:hAnsi="Arial" w:cs="Arial"/>
          <w:shd w:val="clear" w:color="auto" w:fill="FFFF00"/>
        </w:rPr>
        <w:t>●</w:t>
      </w:r>
      <w:r>
        <w:rPr>
          <w:shd w:val="clear" w:color="auto" w:fill="FFFF00"/>
        </w:rPr>
        <w:t>]</w:t>
      </w:r>
      <w:r>
        <w:t xml:space="preserve">, para a integração do processo de troca de informações entre as partes, através do intercâmbio de dados em meio eletrônico, visando o aprimoramento recíproco dos serviços. Processo nº </w:t>
      </w:r>
      <w:r>
        <w:rPr>
          <w:shd w:val="clear" w:color="auto" w:fill="FFFF00"/>
        </w:rPr>
        <w:t>[</w:t>
      </w:r>
      <w:r>
        <w:rPr>
          <w:rFonts w:ascii="Arial" w:eastAsia="Arial" w:hAnsi="Arial" w:cs="Arial"/>
          <w:shd w:val="clear" w:color="auto" w:fill="FFFF00"/>
        </w:rPr>
        <w:t>●</w:t>
      </w:r>
      <w:r>
        <w:rPr>
          <w:shd w:val="clear" w:color="auto" w:fill="FFFF00"/>
        </w:rPr>
        <w:t>]</w:t>
      </w:r>
      <w:r>
        <w:t xml:space="preserve">. </w:t>
      </w:r>
    </w:p>
    <w:p w14:paraId="53269D3C" w14:textId="77777777" w:rsidR="00BF16E6" w:rsidRDefault="00BF16E6">
      <w:pPr>
        <w:ind w:left="-5" w:right="0"/>
      </w:pPr>
    </w:p>
    <w:p w14:paraId="217FF920" w14:textId="77777777" w:rsidR="00BF16E6" w:rsidRDefault="00BF16E6">
      <w:pPr>
        <w:ind w:left="-5" w:right="0"/>
      </w:pPr>
    </w:p>
    <w:p w14:paraId="7ED60A3A" w14:textId="0B6AF685" w:rsidR="0091385B" w:rsidRDefault="00F87590">
      <w:pPr>
        <w:ind w:left="-5" w:right="0"/>
      </w:pPr>
      <w:r>
        <w:t xml:space="preserve">O </w:t>
      </w:r>
      <w:r>
        <w:rPr>
          <w:b/>
        </w:rPr>
        <w:t>TRIBUNAL DE JUSTIÇA DO ESTADO DE SÃO PAULO</w:t>
      </w:r>
      <w:r>
        <w:t xml:space="preserve">, com sede no Palácio da Justiça, situado à Pça. da Sé s/nº, CEP 01018-010, São Paulo/SP, inscrito no Cadastro Nacional de Pessoas Jurídicas – C.N.P.J. nº 51.174.001/0001-93, representado neste ato pelo Senhor Presidente do Tribunal de Justiça, o Excelentíssimo Desembargador Fernando Antônio Torres Garcia, neste instrumento simplesmente denominado TRIBUNAL, e o </w:t>
      </w:r>
      <w:r>
        <w:rPr>
          <w:shd w:val="clear" w:color="auto" w:fill="FFFF00"/>
        </w:rPr>
        <w:t>[</w:t>
      </w:r>
      <w:r>
        <w:rPr>
          <w:rFonts w:ascii="Arial" w:eastAsia="Arial" w:hAnsi="Arial" w:cs="Arial"/>
          <w:shd w:val="clear" w:color="auto" w:fill="FFFF00"/>
        </w:rPr>
        <w:t>●</w:t>
      </w:r>
      <w:r>
        <w:rPr>
          <w:shd w:val="clear" w:color="auto" w:fill="FFFF00"/>
        </w:rPr>
        <w:t>]</w:t>
      </w:r>
      <w:r>
        <w:rPr>
          <w:i/>
        </w:rPr>
        <w:t xml:space="preserve">, </w:t>
      </w:r>
      <w:r>
        <w:t xml:space="preserve">estabelecido à </w:t>
      </w:r>
      <w:r>
        <w:rPr>
          <w:shd w:val="clear" w:color="auto" w:fill="FFFF00"/>
        </w:rPr>
        <w:t>[</w:t>
      </w:r>
      <w:r>
        <w:rPr>
          <w:rFonts w:ascii="Arial" w:eastAsia="Arial" w:hAnsi="Arial" w:cs="Arial"/>
          <w:shd w:val="clear" w:color="auto" w:fill="FFFF00"/>
        </w:rPr>
        <w:t>●</w:t>
      </w:r>
      <w:r>
        <w:rPr>
          <w:shd w:val="clear" w:color="auto" w:fill="FFFF00"/>
        </w:rPr>
        <w:t>]</w:t>
      </w:r>
      <w:r>
        <w:t xml:space="preserve">, nº </w:t>
      </w:r>
      <w:r>
        <w:rPr>
          <w:shd w:val="clear" w:color="auto" w:fill="FFFF00"/>
        </w:rPr>
        <w:t>[</w:t>
      </w:r>
      <w:r>
        <w:rPr>
          <w:rFonts w:ascii="Arial" w:eastAsia="Arial" w:hAnsi="Arial" w:cs="Arial"/>
          <w:shd w:val="clear" w:color="auto" w:fill="FFFF00"/>
        </w:rPr>
        <w:t>●</w:t>
      </w:r>
      <w:r>
        <w:rPr>
          <w:shd w:val="clear" w:color="auto" w:fill="FFFF00"/>
        </w:rPr>
        <w:t>]</w:t>
      </w:r>
      <w:r>
        <w:t xml:space="preserve">, </w:t>
      </w:r>
      <w:r>
        <w:rPr>
          <w:shd w:val="clear" w:color="auto" w:fill="FFFF00"/>
        </w:rPr>
        <w:t>[</w:t>
      </w:r>
      <w:r>
        <w:rPr>
          <w:rFonts w:ascii="Arial" w:eastAsia="Arial" w:hAnsi="Arial" w:cs="Arial"/>
          <w:shd w:val="clear" w:color="auto" w:fill="FFFF00"/>
        </w:rPr>
        <w:t>●</w:t>
      </w:r>
      <w:r>
        <w:rPr>
          <w:shd w:val="clear" w:color="auto" w:fill="FFFF00"/>
        </w:rPr>
        <w:t>]</w:t>
      </w:r>
      <w:r>
        <w:t xml:space="preserve">- SP, CEP </w:t>
      </w:r>
      <w:r>
        <w:rPr>
          <w:shd w:val="clear" w:color="auto" w:fill="FFFF00"/>
        </w:rPr>
        <w:t>[</w:t>
      </w:r>
      <w:r>
        <w:rPr>
          <w:rFonts w:ascii="Arial" w:eastAsia="Arial" w:hAnsi="Arial" w:cs="Arial"/>
          <w:shd w:val="clear" w:color="auto" w:fill="FFFF00"/>
        </w:rPr>
        <w:t>●</w:t>
      </w:r>
      <w:r>
        <w:rPr>
          <w:shd w:val="clear" w:color="auto" w:fill="FFFF00"/>
        </w:rPr>
        <w:t>]</w:t>
      </w:r>
      <w:r>
        <w:t xml:space="preserve">, inscrito no Cadastro Nacional de Pessoas Jurídicas – C.N.P.J. nº </w:t>
      </w:r>
      <w:r>
        <w:rPr>
          <w:shd w:val="clear" w:color="auto" w:fill="FFFF00"/>
        </w:rPr>
        <w:t>[</w:t>
      </w:r>
      <w:r>
        <w:rPr>
          <w:rFonts w:ascii="Arial" w:eastAsia="Arial" w:hAnsi="Arial" w:cs="Arial"/>
          <w:shd w:val="clear" w:color="auto" w:fill="FFFF00"/>
        </w:rPr>
        <w:t>●</w:t>
      </w:r>
      <w:r>
        <w:rPr>
          <w:shd w:val="clear" w:color="auto" w:fill="FFFF00"/>
        </w:rPr>
        <w:t>]</w:t>
      </w:r>
      <w:r>
        <w:t xml:space="preserve">, neste ato representado por </w:t>
      </w:r>
      <w:r>
        <w:rPr>
          <w:shd w:val="clear" w:color="auto" w:fill="FFFF00"/>
        </w:rPr>
        <w:t>[</w:t>
      </w:r>
      <w:r>
        <w:rPr>
          <w:rFonts w:ascii="Arial" w:eastAsia="Arial" w:hAnsi="Arial" w:cs="Arial"/>
          <w:shd w:val="clear" w:color="auto" w:fill="FFFF00"/>
        </w:rPr>
        <w:t>●</w:t>
      </w:r>
      <w:r>
        <w:rPr>
          <w:shd w:val="clear" w:color="auto" w:fill="FFFF00"/>
        </w:rPr>
        <w:t>]</w:t>
      </w:r>
      <w:r>
        <w:t xml:space="preserve">, neste instrumento simplesmente denominado </w:t>
      </w:r>
      <w:r>
        <w:rPr>
          <w:shd w:val="clear" w:color="auto" w:fill="FFFF00"/>
        </w:rPr>
        <w:t>[</w:t>
      </w:r>
      <w:r>
        <w:rPr>
          <w:rFonts w:ascii="Arial" w:eastAsia="Arial" w:hAnsi="Arial" w:cs="Arial"/>
          <w:shd w:val="clear" w:color="auto" w:fill="FFFF00"/>
        </w:rPr>
        <w:t>●</w:t>
      </w:r>
      <w:r>
        <w:rPr>
          <w:shd w:val="clear" w:color="auto" w:fill="FFFF00"/>
        </w:rPr>
        <w:t>]</w:t>
      </w:r>
      <w:r>
        <w:t xml:space="preserve">, assinam o presente </w:t>
      </w:r>
      <w:r>
        <w:rPr>
          <w:b/>
        </w:rPr>
        <w:t>TERMO DE COOPERAÇÃO TÉCNICA</w:t>
      </w:r>
      <w:r>
        <w:t xml:space="preserve">, em conformidade com as normas da Lei nº 14.133/2021, do Decreto nº 11.531/2023 e da Portaria SEGES/MGI nº 1.605/2024, bem como suas atualizações, aplicáveis no que couber ao presente Termo, e com as seguintes cláusulas e condições: </w:t>
      </w:r>
    </w:p>
    <w:p w14:paraId="74533ED0" w14:textId="77777777" w:rsidR="0091385B" w:rsidRDefault="00F87590">
      <w:pPr>
        <w:pStyle w:val="Ttulo2"/>
        <w:ind w:left="10" w:right="4"/>
      </w:pPr>
      <w:r>
        <w:t xml:space="preserve">CLÁUSULA PRIMEIRA – DO OBJETO </w:t>
      </w:r>
    </w:p>
    <w:p w14:paraId="389DB98F" w14:textId="77777777" w:rsidR="0091385B" w:rsidRDefault="00F87590">
      <w:pPr>
        <w:ind w:left="-5" w:right="0"/>
      </w:pPr>
      <w:r>
        <w:rPr>
          <w:b/>
        </w:rPr>
        <w:t xml:space="preserve">1.1- </w:t>
      </w:r>
      <w:r>
        <w:t xml:space="preserve">Constitui o objeto deste Termo de Cooperação Técnica a integração do processo de troca de informações entre as partes, através do intercâmbio de dados em meio eletrônico. </w:t>
      </w:r>
    </w:p>
    <w:p w14:paraId="15E47081" w14:textId="77777777" w:rsidR="0091385B" w:rsidRDefault="00F87590">
      <w:pPr>
        <w:ind w:left="-5" w:right="0"/>
      </w:pPr>
      <w:r>
        <w:rPr>
          <w:b/>
        </w:rPr>
        <w:t>1.1.1-</w:t>
      </w:r>
      <w:r>
        <w:t xml:space="preserve"> O processo de troca de informações está baseado em um conjunto padronizado de interfaces de conexão, criando assim uma camada de comunicação comum entre as instituições, a qual permitirá a interoperabilidade dos sistemas do TRIBUNAL e do </w:t>
      </w:r>
      <w:r>
        <w:rPr>
          <w:shd w:val="clear" w:color="auto" w:fill="FFFF00"/>
        </w:rPr>
        <w:t>[</w:t>
      </w:r>
      <w:r>
        <w:rPr>
          <w:rFonts w:ascii="Arial" w:eastAsia="Arial" w:hAnsi="Arial" w:cs="Arial"/>
          <w:shd w:val="clear" w:color="auto" w:fill="FFFF00"/>
        </w:rPr>
        <w:t>●</w:t>
      </w:r>
      <w:r>
        <w:rPr>
          <w:shd w:val="clear" w:color="auto" w:fill="FFFF00"/>
        </w:rPr>
        <w:t>]</w:t>
      </w:r>
      <w:r>
        <w:t xml:space="preserve">. </w:t>
      </w:r>
    </w:p>
    <w:p w14:paraId="77BCB843" w14:textId="77777777" w:rsidR="0091385B" w:rsidRDefault="00F87590">
      <w:pPr>
        <w:ind w:left="-5" w:right="0"/>
      </w:pPr>
      <w:r>
        <w:rPr>
          <w:b/>
        </w:rPr>
        <w:lastRenderedPageBreak/>
        <w:t>1.2-</w:t>
      </w:r>
      <w:r>
        <w:t xml:space="preserve"> O custeio das despesas decorrentes do presente Termo de Cooperação Técnica será suportado pelos partícipes na medida de suas atribuições, em conformidade com as respectivas dotações orçamentárias. </w:t>
      </w:r>
    </w:p>
    <w:p w14:paraId="1DF5D369" w14:textId="77777777" w:rsidR="0091385B" w:rsidRDefault="00F87590">
      <w:pPr>
        <w:ind w:left="-5" w:right="0"/>
      </w:pPr>
      <w:r>
        <w:rPr>
          <w:b/>
        </w:rPr>
        <w:t xml:space="preserve">1.2.1- </w:t>
      </w:r>
      <w:r>
        <w:t xml:space="preserve">Não haverá repasse de verbas, nem é devida qualquer remuneração entre as partes, pelo intercâmbio de dados em meio eletrônico, objeto deste Termo de Cooperação Técnica. </w:t>
      </w:r>
    </w:p>
    <w:p w14:paraId="7ABC1A5D" w14:textId="77777777" w:rsidR="0091385B" w:rsidRDefault="00F87590">
      <w:pPr>
        <w:pStyle w:val="Ttulo2"/>
        <w:ind w:left="10" w:right="7"/>
      </w:pPr>
      <w:r>
        <w:t xml:space="preserve">CLÁUSULA SEGUNDA – DO PLANO DE TRABALHO </w:t>
      </w:r>
    </w:p>
    <w:p w14:paraId="1D4C5CF8" w14:textId="77777777" w:rsidR="0091385B" w:rsidRDefault="00F87590">
      <w:pPr>
        <w:ind w:left="-5" w:right="0"/>
      </w:pPr>
      <w:r>
        <w:rPr>
          <w:b/>
        </w:rPr>
        <w:t xml:space="preserve">2.1- </w:t>
      </w:r>
      <w:r>
        <w:t xml:space="preserve">O Plano de Trabalho é parte integrante deste Termo de Cooperação Técnica, constituindo o seu Anexo I, obrigando-se os partícipes a cumpri-lo integralmente. </w:t>
      </w:r>
    </w:p>
    <w:p w14:paraId="15976140" w14:textId="77777777" w:rsidR="0091385B" w:rsidRDefault="00F87590">
      <w:pPr>
        <w:pStyle w:val="Ttulo2"/>
        <w:ind w:left="10" w:right="6"/>
      </w:pPr>
      <w:r>
        <w:t xml:space="preserve">CLÁUSULA TERCEIRA – DA ESPECIFICAÇÃO TÉCNICA </w:t>
      </w:r>
    </w:p>
    <w:p w14:paraId="6B7A8ED7" w14:textId="77777777" w:rsidR="0091385B" w:rsidRDefault="00F87590">
      <w:pPr>
        <w:ind w:left="-5" w:right="0"/>
      </w:pPr>
      <w:r>
        <w:rPr>
          <w:b/>
        </w:rPr>
        <w:t xml:space="preserve">3.1- </w:t>
      </w:r>
      <w:r>
        <w:t xml:space="preserve">Para a troca de informações de forma automatizada e segura entre as partes será observado o Plano de Trabalho – Anexo I deste Termo de Cooperação Técnica, bem como as seguintes regras: </w:t>
      </w:r>
    </w:p>
    <w:p w14:paraId="57C6CFF4" w14:textId="77777777" w:rsidR="0091385B" w:rsidRDefault="00F87590">
      <w:pPr>
        <w:spacing w:after="246" w:line="259" w:lineRule="auto"/>
        <w:ind w:left="-5" w:right="0"/>
      </w:pPr>
      <w:r>
        <w:rPr>
          <w:b/>
        </w:rPr>
        <w:t xml:space="preserve">3.1.1- </w:t>
      </w:r>
      <w:r>
        <w:t xml:space="preserve">Será adotado o padrão de mercado “SOAP/Web Service”; </w:t>
      </w:r>
    </w:p>
    <w:p w14:paraId="0124BB9B" w14:textId="77777777" w:rsidR="0091385B" w:rsidRDefault="00F87590">
      <w:pPr>
        <w:ind w:left="-5" w:right="0"/>
      </w:pPr>
      <w:r>
        <w:rPr>
          <w:b/>
        </w:rPr>
        <w:t xml:space="preserve">3.1.2- </w:t>
      </w:r>
      <w:r>
        <w:t xml:space="preserve">O </w:t>
      </w:r>
      <w:r>
        <w:rPr>
          <w:b/>
        </w:rPr>
        <w:t xml:space="preserve">TRIBUNAL </w:t>
      </w:r>
      <w:r>
        <w:t xml:space="preserve">e o </w:t>
      </w:r>
      <w:r>
        <w:rPr>
          <w:shd w:val="clear" w:color="auto" w:fill="FFFF00"/>
        </w:rPr>
        <w:t>[</w:t>
      </w:r>
      <w:r>
        <w:rPr>
          <w:rFonts w:ascii="Arial" w:eastAsia="Arial" w:hAnsi="Arial" w:cs="Arial"/>
          <w:shd w:val="clear" w:color="auto" w:fill="FFFF00"/>
        </w:rPr>
        <w:t>●</w:t>
      </w:r>
      <w:r>
        <w:rPr>
          <w:shd w:val="clear" w:color="auto" w:fill="FFFF00"/>
        </w:rPr>
        <w:t>]</w:t>
      </w:r>
      <w:r>
        <w:t xml:space="preserve"> deverão se tornar provedores de “web service” mútuos, sendo ambos os consumidores das informações; </w:t>
      </w:r>
    </w:p>
    <w:p w14:paraId="793DD55D" w14:textId="77777777" w:rsidR="0091385B" w:rsidRDefault="00F87590">
      <w:pPr>
        <w:spacing w:line="259" w:lineRule="auto"/>
        <w:ind w:left="-5" w:right="0"/>
      </w:pPr>
      <w:r>
        <w:rPr>
          <w:b/>
        </w:rPr>
        <w:t xml:space="preserve">3.1.3- </w:t>
      </w:r>
      <w:r>
        <w:t xml:space="preserve">As mensagens seguirão o padrão XML, sendo validadas com um DTD (Document </w:t>
      </w:r>
    </w:p>
    <w:p w14:paraId="542F497F" w14:textId="77777777" w:rsidR="0091385B" w:rsidRDefault="00F87590">
      <w:pPr>
        <w:spacing w:after="233" w:line="259" w:lineRule="auto"/>
        <w:ind w:left="-5" w:right="0"/>
      </w:pPr>
      <w:r>
        <w:t xml:space="preserve">Type Definition); </w:t>
      </w:r>
    </w:p>
    <w:p w14:paraId="35236421" w14:textId="77777777" w:rsidR="0091385B" w:rsidRDefault="00F87590">
      <w:pPr>
        <w:ind w:left="-5" w:right="0"/>
      </w:pPr>
      <w:r>
        <w:rPr>
          <w:b/>
        </w:rPr>
        <w:t xml:space="preserve">3.1.4- </w:t>
      </w:r>
      <w:r>
        <w:t xml:space="preserve">A especificação técnica da estrutura das mensagens, com a descrição dos campos para envio e retorno, de consulta e dos códigos de erro, será objeto de documento a ser elaborado pelas equipes técnicas de cada uma das partes; </w:t>
      </w:r>
    </w:p>
    <w:p w14:paraId="29C51B69" w14:textId="77777777" w:rsidR="0091385B" w:rsidRDefault="00F87590">
      <w:pPr>
        <w:ind w:left="-5" w:right="0"/>
      </w:pPr>
      <w:r>
        <w:rPr>
          <w:b/>
        </w:rPr>
        <w:t xml:space="preserve">3.1.5- </w:t>
      </w:r>
      <w:r>
        <w:t xml:space="preserve">Serão utilizados canais criptografados, assim como o conceito de chaves pública e privada, incluída protocolação digital, para garantir a segurança das informações trafegadas, a sua integridade e a sua validade jurídica, de acordo com a Lei nº 11.419/06; </w:t>
      </w:r>
    </w:p>
    <w:p w14:paraId="09B94152" w14:textId="77777777" w:rsidR="0091385B" w:rsidRDefault="00F87590">
      <w:pPr>
        <w:ind w:left="-5" w:right="0"/>
      </w:pPr>
      <w:r>
        <w:rPr>
          <w:b/>
        </w:rPr>
        <w:t xml:space="preserve">3.1.6- </w:t>
      </w:r>
      <w:r>
        <w:t xml:space="preserve">Mudanças nas condições e nas especificações técnicas somente entrarão em vigor 45 (quarenta e cinco) dias após comunicação escrita entre as partes. </w:t>
      </w:r>
    </w:p>
    <w:p w14:paraId="230BA6C8" w14:textId="77777777" w:rsidR="0091385B" w:rsidRDefault="00F87590">
      <w:pPr>
        <w:ind w:left="-5" w:right="0"/>
      </w:pPr>
      <w:r>
        <w:rPr>
          <w:b/>
        </w:rPr>
        <w:lastRenderedPageBreak/>
        <w:t xml:space="preserve">3.2- </w:t>
      </w:r>
      <w:r>
        <w:t xml:space="preserve">O </w:t>
      </w:r>
      <w:r>
        <w:rPr>
          <w:b/>
        </w:rPr>
        <w:t xml:space="preserve">TRIBUNAL </w:t>
      </w:r>
      <w:r>
        <w:t xml:space="preserve">e o </w:t>
      </w:r>
      <w:r>
        <w:rPr>
          <w:shd w:val="clear" w:color="auto" w:fill="FFFF00"/>
        </w:rPr>
        <w:t>[</w:t>
      </w:r>
      <w:r>
        <w:rPr>
          <w:rFonts w:ascii="Arial" w:eastAsia="Arial" w:hAnsi="Arial" w:cs="Arial"/>
          <w:shd w:val="clear" w:color="auto" w:fill="FFFF00"/>
        </w:rPr>
        <w:t>●</w:t>
      </w:r>
      <w:r>
        <w:rPr>
          <w:shd w:val="clear" w:color="auto" w:fill="FFFF00"/>
        </w:rPr>
        <w:t>]</w:t>
      </w:r>
      <w:r>
        <w:t xml:space="preserve"> manterão as condições técnicas necessárias à troca das informações que trata este Termo de Cooperação Técnica. </w:t>
      </w:r>
    </w:p>
    <w:p w14:paraId="1109FEC8" w14:textId="77777777" w:rsidR="0091385B" w:rsidRDefault="00F87590">
      <w:pPr>
        <w:pStyle w:val="Ttulo2"/>
        <w:ind w:left="10" w:right="7"/>
      </w:pPr>
      <w:r>
        <w:t xml:space="preserve">CLÁUSULA QUARTA – DOS RECURSOS </w:t>
      </w:r>
    </w:p>
    <w:p w14:paraId="477FF401" w14:textId="77777777" w:rsidR="0091385B" w:rsidRDefault="00F87590">
      <w:pPr>
        <w:ind w:left="-5" w:right="0"/>
      </w:pPr>
      <w:r>
        <w:rPr>
          <w:b/>
        </w:rPr>
        <w:t xml:space="preserve">4.1- </w:t>
      </w:r>
      <w:r>
        <w:t xml:space="preserve">Para a execução do objeto deste instrumento, não haverá transferência de recursos próprios entre os partícipes. </w:t>
      </w:r>
    </w:p>
    <w:p w14:paraId="12C0B0CB" w14:textId="77777777" w:rsidR="0091385B" w:rsidRDefault="00F87590">
      <w:pPr>
        <w:ind w:left="-5" w:right="0"/>
      </w:pPr>
      <w:r>
        <w:rPr>
          <w:b/>
        </w:rPr>
        <w:t xml:space="preserve">4.2- </w:t>
      </w:r>
      <w:r>
        <w:t xml:space="preserve">Os recursos humanos utilizados por quaisquer dos partícipes, em decorrência das atividades relativas a este Termo, não sofrerão alteração na sua vinculação, nem acarretarão quaisquer ônus ao outro partícipe. </w:t>
      </w:r>
    </w:p>
    <w:p w14:paraId="054B1AD7" w14:textId="77777777" w:rsidR="0091385B" w:rsidRDefault="00F87590">
      <w:pPr>
        <w:pStyle w:val="Ttulo2"/>
        <w:ind w:left="10" w:right="8"/>
      </w:pPr>
      <w:r>
        <w:t xml:space="preserve">CLÁUSULA QUINTA – DO PRAZO DE VIGÊNCIA </w:t>
      </w:r>
    </w:p>
    <w:p w14:paraId="2E667752" w14:textId="09761FDB" w:rsidR="0091385B" w:rsidRDefault="00F87590" w:rsidP="00DB21F2">
      <w:pPr>
        <w:tabs>
          <w:tab w:val="left" w:pos="567"/>
          <w:tab w:val="left" w:pos="1276"/>
        </w:tabs>
        <w:spacing w:line="362" w:lineRule="auto"/>
        <w:ind w:left="-6" w:right="0" w:hanging="11"/>
      </w:pPr>
      <w:r w:rsidRPr="00DB21F2">
        <w:rPr>
          <w:b/>
          <w:bCs/>
        </w:rPr>
        <w:t>5.1</w:t>
      </w:r>
      <w:r w:rsidRPr="6B552B09">
        <w:rPr>
          <w:b/>
          <w:bCs/>
        </w:rPr>
        <w:t xml:space="preserve">- </w:t>
      </w:r>
      <w:r w:rsidR="52CB3187" w:rsidRPr="00DB21F2">
        <w:t xml:space="preserve">O presente Termo de Cooperação Técnica terá vigência pelo prazo de </w:t>
      </w:r>
      <w:r w:rsidR="52CB3187" w:rsidRPr="00DB21F2">
        <w:rPr>
          <w:b/>
          <w:bCs/>
        </w:rPr>
        <w:t>120 (cento e vinte) meses</w:t>
      </w:r>
      <w:r w:rsidR="52CB3187" w:rsidRPr="00DB21F2">
        <w:t xml:space="preserve">, contados a partir da data de sua assinatura pelo </w:t>
      </w:r>
      <w:r w:rsidR="52CB3187" w:rsidRPr="00DB21F2">
        <w:rPr>
          <w:b/>
          <w:bCs/>
        </w:rPr>
        <w:t>MUNICÍPIO</w:t>
      </w:r>
      <w:r w:rsidR="52CB3187" w:rsidRPr="00DB21F2">
        <w:t>, em conformidade com a legislação vigente. A denúncia poderá ser promovida por qualquer das partes, a qualquer tempo, mediante comunicação formal e expressa, com antecedência mínima de 30 (trinta) dias, hipótese em que o encerramento se dará sem ônus ou penalidade à parte denunciante, ressalvadas as obrigações já constituídas e em curso até a data efetiva da rescisão.</w:t>
      </w:r>
    </w:p>
    <w:p w14:paraId="44AAD368" w14:textId="20BDA688" w:rsidR="6B552B09" w:rsidRDefault="6B552B09" w:rsidP="6B552B09">
      <w:pPr>
        <w:ind w:left="-5" w:right="0"/>
        <w:rPr>
          <w:rFonts w:ascii="Arial" w:eastAsia="Arial" w:hAnsi="Arial" w:cs="Arial"/>
          <w:color w:val="000000" w:themeColor="text1"/>
        </w:rPr>
      </w:pPr>
    </w:p>
    <w:p w14:paraId="2529B2AF" w14:textId="77777777" w:rsidR="0091385B" w:rsidRDefault="00F87590">
      <w:pPr>
        <w:pStyle w:val="Ttulo2"/>
        <w:ind w:left="10" w:right="5"/>
      </w:pPr>
      <w:r>
        <w:t xml:space="preserve">CLÁUSULA SEXTA – DAS ALTERAÇÕES </w:t>
      </w:r>
    </w:p>
    <w:p w14:paraId="4BB89F24" w14:textId="77777777" w:rsidR="0091385B" w:rsidRDefault="00F87590">
      <w:pPr>
        <w:ind w:left="-5" w:right="0"/>
      </w:pPr>
      <w:r>
        <w:rPr>
          <w:b/>
        </w:rPr>
        <w:t xml:space="preserve">6.1- </w:t>
      </w:r>
      <w:r>
        <w:t xml:space="preserve">O presente Termo de Cooperação e seu Plano de Trabalho poderão ser alterados, mediante a formalização de Aditamento. </w:t>
      </w:r>
    </w:p>
    <w:p w14:paraId="04BE116E" w14:textId="77777777" w:rsidR="0091385B" w:rsidRDefault="00F87590">
      <w:pPr>
        <w:pStyle w:val="Ttulo2"/>
        <w:ind w:left="10" w:right="5"/>
      </w:pPr>
      <w:r>
        <w:t xml:space="preserve">CLÁUSULA SÉTIMA – DO ENCERRAMENTO </w:t>
      </w:r>
    </w:p>
    <w:p w14:paraId="0AAF6B47" w14:textId="77777777" w:rsidR="0091385B" w:rsidRDefault="00F87590">
      <w:pPr>
        <w:spacing w:after="233" w:line="259" w:lineRule="auto"/>
        <w:ind w:left="-5" w:right="0"/>
      </w:pPr>
      <w:r>
        <w:rPr>
          <w:b/>
        </w:rPr>
        <w:t xml:space="preserve">7.1- </w:t>
      </w:r>
      <w:r>
        <w:t xml:space="preserve">O presente Termo de Cooperação Técnica poderá ser encerrado: </w:t>
      </w:r>
    </w:p>
    <w:p w14:paraId="06B32CC2" w14:textId="77777777" w:rsidR="0091385B" w:rsidRDefault="00F87590">
      <w:pPr>
        <w:spacing w:after="235" w:line="259" w:lineRule="auto"/>
        <w:ind w:left="-5" w:right="0"/>
      </w:pPr>
      <w:r>
        <w:rPr>
          <w:b/>
        </w:rPr>
        <w:t xml:space="preserve">7.1.1- </w:t>
      </w:r>
      <w:r>
        <w:t xml:space="preserve">Por advento do termo final da vigência; </w:t>
      </w:r>
    </w:p>
    <w:p w14:paraId="22C8B72A" w14:textId="77777777" w:rsidR="0091385B" w:rsidRDefault="00F87590">
      <w:pPr>
        <w:ind w:left="-5" w:right="0"/>
      </w:pPr>
      <w:r>
        <w:rPr>
          <w:b/>
        </w:rPr>
        <w:t xml:space="preserve">7.1.2- </w:t>
      </w:r>
      <w:r>
        <w:t xml:space="preserve">Antes do advento do termo final de vigência, por consenso dos partícipes, devendo ser devidamente formalizado; </w:t>
      </w:r>
    </w:p>
    <w:p w14:paraId="092791F0" w14:textId="77777777" w:rsidR="0091385B" w:rsidRDefault="00F87590">
      <w:pPr>
        <w:ind w:left="-5" w:right="0"/>
      </w:pPr>
      <w:r>
        <w:rPr>
          <w:b/>
        </w:rPr>
        <w:lastRenderedPageBreak/>
        <w:t xml:space="preserve">7.1.3- </w:t>
      </w:r>
      <w:r>
        <w:t xml:space="preserve">Por denúncia de qualquer dos partícipes, se não tiver mais interesse na manutenção da parceria, notificando o outro partícipe com antecedência mínima de 30 (trinta) dias; </w:t>
      </w:r>
    </w:p>
    <w:p w14:paraId="4E166932" w14:textId="77777777" w:rsidR="0091385B" w:rsidRDefault="00F87590">
      <w:pPr>
        <w:ind w:left="-5" w:right="0"/>
      </w:pPr>
      <w:r>
        <w:rPr>
          <w:b/>
        </w:rPr>
        <w:t xml:space="preserve">7.1.4- </w:t>
      </w:r>
      <w:r>
        <w:t xml:space="preserve">Por rescisão, a qualquer tempo, por qualquer dos partícipes, devidamente justificada, mediante comunicação formal com antecedência mínima de 30 (trinta) dias, quando houver descumprimento de obrigação, ou na ocorrência de caso fortuito ou de força maior, regularmente comprovado, impeditivo da execução do objeto. </w:t>
      </w:r>
    </w:p>
    <w:p w14:paraId="4CCE882B" w14:textId="77777777" w:rsidR="0091385B" w:rsidRDefault="00F87590">
      <w:pPr>
        <w:pStyle w:val="Ttulo2"/>
        <w:ind w:left="10" w:right="6"/>
      </w:pPr>
      <w:r>
        <w:t xml:space="preserve">CLÁUSULA OITAVA – DA PROTEÇÃO DE DADOS PESSOAIS </w:t>
      </w:r>
    </w:p>
    <w:p w14:paraId="2A4AADC4" w14:textId="77777777" w:rsidR="0091385B" w:rsidRDefault="00F87590">
      <w:pPr>
        <w:ind w:left="-5" w:right="0"/>
      </w:pPr>
      <w:r>
        <w:rPr>
          <w:b/>
        </w:rPr>
        <w:t xml:space="preserve">8.1- </w:t>
      </w:r>
      <w:r>
        <w:t xml:space="preserve">Os partícipes se comprometem a utilizar os dados que lhes forem fornecidos somente nas atividades que, em virtude de lei, sejam de sua competência, comprometendo-se, ainda a: </w:t>
      </w:r>
    </w:p>
    <w:p w14:paraId="0DF9115F" w14:textId="3C84C88F" w:rsidR="0091385B" w:rsidRDefault="00F87590">
      <w:pPr>
        <w:ind w:left="-5" w:right="0"/>
      </w:pPr>
      <w:r w:rsidRPr="6B552B09">
        <w:rPr>
          <w:b/>
          <w:bCs/>
        </w:rPr>
        <w:t xml:space="preserve">8.1.1- </w:t>
      </w:r>
      <w:r w:rsidR="23CDD9DA">
        <w:t>Manter</w:t>
      </w:r>
      <w:r>
        <w:t xml:space="preserve"> confidencialidade sobre informações sigilosas obtidas com fundamento no presente instrumento, não as divulgando a terceiro sem autorização, por escrito, mesmo após a vigência a que alude a Cláusula Sexta; </w:t>
      </w:r>
    </w:p>
    <w:p w14:paraId="271C22D5" w14:textId="7F07A96D" w:rsidR="0091385B" w:rsidRDefault="00F87590">
      <w:pPr>
        <w:ind w:left="-5" w:right="0"/>
      </w:pPr>
      <w:r w:rsidRPr="6B552B09">
        <w:rPr>
          <w:b/>
          <w:bCs/>
        </w:rPr>
        <w:t xml:space="preserve">8.1.2- </w:t>
      </w:r>
      <w:r w:rsidR="13990DFF">
        <w:t>Informar</w:t>
      </w:r>
      <w:r>
        <w:t xml:space="preserve"> ao partícipe afetado a ocorrência de incidente de segurança envolvendo dados pessoais objeto deste ajuste; e  </w:t>
      </w:r>
    </w:p>
    <w:p w14:paraId="7D711D7E" w14:textId="125603C7" w:rsidR="0091385B" w:rsidRDefault="00F87590">
      <w:pPr>
        <w:ind w:left="-5" w:right="0"/>
      </w:pPr>
      <w:r w:rsidRPr="6B552B09">
        <w:rPr>
          <w:b/>
          <w:bCs/>
        </w:rPr>
        <w:t xml:space="preserve">8.1.3- </w:t>
      </w:r>
      <w:r w:rsidR="24D5BB30">
        <w:t xml:space="preserve">A </w:t>
      </w:r>
      <w:r>
        <w:t xml:space="preserve">cumprir as normas de proteção dos dados previstas na Lei Federal nº 13.709/2018 e demais disposições legais e regulamentares aplicáveis, responsabilizando-se por eventuais descumprimentos e prejuízos causados aos outros partícipes ou a terceiros, sem prejuízo das sanções cabíveis nos termos da lei. </w:t>
      </w:r>
    </w:p>
    <w:p w14:paraId="77855BFD" w14:textId="77777777" w:rsidR="0091385B" w:rsidRDefault="00F87590">
      <w:pPr>
        <w:pStyle w:val="Ttulo2"/>
        <w:ind w:left="10" w:right="11"/>
      </w:pPr>
      <w:r>
        <w:t xml:space="preserve">CLÁUSULA NONA – DA PUBLICAÇÃO </w:t>
      </w:r>
    </w:p>
    <w:p w14:paraId="5226E46E" w14:textId="2F45B441" w:rsidR="0091385B" w:rsidRDefault="00F87590">
      <w:pPr>
        <w:ind w:left="-5" w:right="0"/>
      </w:pPr>
      <w:r w:rsidRPr="4FACC830">
        <w:rPr>
          <w:b/>
          <w:bCs/>
        </w:rPr>
        <w:t>9.1-</w:t>
      </w:r>
      <w:r>
        <w:t xml:space="preserve"> O extrato do presente Termo de Cooperação Técnica será publicado no Diário </w:t>
      </w:r>
      <w:r w:rsidR="2711D097">
        <w:t xml:space="preserve">Eletrônico </w:t>
      </w:r>
      <w:r>
        <w:t>d</w:t>
      </w:r>
      <w:r w:rsidR="12236766">
        <w:t>e</w:t>
      </w:r>
      <w:r>
        <w:t xml:space="preserve"> Justiça </w:t>
      </w:r>
      <w:r w:rsidR="33EA1A9B">
        <w:t xml:space="preserve">do Estado de São Paulo </w:t>
      </w:r>
      <w:r>
        <w:t>– D</w:t>
      </w:r>
      <w:r w:rsidR="277704D4">
        <w:t>E</w:t>
      </w:r>
      <w:r>
        <w:t>JE</w:t>
      </w:r>
      <w:r w:rsidR="75DB2E61">
        <w:t>SP</w:t>
      </w:r>
      <w:r>
        <w:t xml:space="preserve"> pelo Tribunal de Justiça do Estado de São Paulo. </w:t>
      </w:r>
    </w:p>
    <w:p w14:paraId="391642FA" w14:textId="77777777" w:rsidR="0091385B" w:rsidRDefault="00F87590">
      <w:pPr>
        <w:pStyle w:val="Ttulo2"/>
        <w:ind w:left="10" w:right="8"/>
      </w:pPr>
      <w:r>
        <w:t xml:space="preserve">CLÁUSULA DÉCIMA – DAS DISPOSIÇÕES GERAIS </w:t>
      </w:r>
    </w:p>
    <w:p w14:paraId="261443B1" w14:textId="77777777" w:rsidR="0091385B" w:rsidRDefault="00F87590">
      <w:pPr>
        <w:ind w:left="-5" w:right="0"/>
      </w:pPr>
      <w:r>
        <w:rPr>
          <w:b/>
        </w:rPr>
        <w:t>10.1-</w:t>
      </w:r>
      <w:r>
        <w:t xml:space="preserve"> Este Termo de Cooperação Técnica não afetará quaisquer direitos relativos à propriedade intelectual dos materiais utilizados pelos partícipes.  </w:t>
      </w:r>
    </w:p>
    <w:p w14:paraId="7275B317" w14:textId="77777777" w:rsidR="0091385B" w:rsidRDefault="00F87590">
      <w:pPr>
        <w:ind w:left="-5" w:right="0"/>
      </w:pPr>
      <w:r>
        <w:rPr>
          <w:b/>
        </w:rPr>
        <w:lastRenderedPageBreak/>
        <w:t>10.2-</w:t>
      </w:r>
      <w:r>
        <w:t xml:space="preserve"> Eventuais dúvidas oriundas deste Termo de Cooperação Técnica deverão ser solucionadas na via administrativa, por intermédio das autoridades encarregadas da sua execução. </w:t>
      </w:r>
    </w:p>
    <w:p w14:paraId="286478BC" w14:textId="77777777" w:rsidR="0091385B" w:rsidRDefault="00F87590">
      <w:pPr>
        <w:ind w:left="-5" w:right="0"/>
      </w:pPr>
      <w:r>
        <w:rPr>
          <w:b/>
        </w:rPr>
        <w:t>10.3-</w:t>
      </w:r>
      <w:r>
        <w:t xml:space="preserve"> Para dirimir conflitos decorrentes da execução não solucionados administrativamente, será competente o Foro da Comarca de São Paulo. </w:t>
      </w:r>
    </w:p>
    <w:p w14:paraId="3178960B" w14:textId="77777777" w:rsidR="0091385B" w:rsidRDefault="00F87590">
      <w:pPr>
        <w:ind w:left="-5" w:right="0"/>
      </w:pPr>
      <w:r>
        <w:t xml:space="preserve">E por estarem certos e ajustados, firmam os partícipes o presente Termo de Cooperação Técnica em duas vias. </w:t>
      </w:r>
    </w:p>
    <w:p w14:paraId="7A21045A" w14:textId="77777777" w:rsidR="0091385B" w:rsidRDefault="00F87590">
      <w:pPr>
        <w:spacing w:after="229" w:line="265" w:lineRule="auto"/>
        <w:ind w:left="272" w:right="0"/>
        <w:jc w:val="center"/>
      </w:pPr>
      <w:r>
        <w:t xml:space="preserve">São Paulo, data registrada à margem direita. </w:t>
      </w:r>
    </w:p>
    <w:p w14:paraId="5FB0E129" w14:textId="77777777" w:rsidR="0091385B" w:rsidRDefault="00F87590">
      <w:pPr>
        <w:spacing w:after="262" w:line="259" w:lineRule="auto"/>
        <w:ind w:left="2269" w:right="0" w:firstLine="0"/>
        <w:jc w:val="left"/>
      </w:pPr>
      <w:r>
        <w:t xml:space="preserve"> </w:t>
      </w:r>
    </w:p>
    <w:tbl>
      <w:tblPr>
        <w:tblStyle w:val="TabeladeGradeClar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95"/>
        <w:gridCol w:w="4620"/>
      </w:tblGrid>
      <w:tr w:rsidR="6B552B09" w14:paraId="0745104C" w14:textId="77777777" w:rsidTr="5672E9FB">
        <w:trPr>
          <w:trHeight w:val="300"/>
        </w:trPr>
        <w:tc>
          <w:tcPr>
            <w:tcW w:w="4995" w:type="dxa"/>
            <w:tcBorders>
              <w:top w:val="nil"/>
              <w:left w:val="nil"/>
              <w:bottom w:val="nil"/>
              <w:right w:val="nil"/>
            </w:tcBorders>
            <w:tcMar>
              <w:left w:w="105" w:type="dxa"/>
              <w:right w:w="105" w:type="dxa"/>
            </w:tcMar>
          </w:tcPr>
          <w:p w14:paraId="1504D0AB" w14:textId="4C2BEC3F" w:rsidR="6B552B09" w:rsidRDefault="6B552B09" w:rsidP="6B552B09">
            <w:pPr>
              <w:jc w:val="center"/>
              <w:rPr>
                <w:rFonts w:ascii="Arial" w:eastAsia="Arial" w:hAnsi="Arial" w:cs="Arial"/>
                <w:color w:val="000000" w:themeColor="text1"/>
              </w:rPr>
            </w:pPr>
            <w:r w:rsidRPr="6B552B09">
              <w:rPr>
                <w:rFonts w:ascii="Arial" w:eastAsia="Arial" w:hAnsi="Arial" w:cs="Arial"/>
                <w:color w:val="000000" w:themeColor="text1"/>
              </w:rPr>
              <w:t>__________________________________</w:t>
            </w:r>
          </w:p>
          <w:p w14:paraId="48DC0731" w14:textId="3C39ADC3" w:rsidR="6B552B09" w:rsidRDefault="6B552B09" w:rsidP="6B552B09">
            <w:pPr>
              <w:ind w:left="-90"/>
              <w:jc w:val="center"/>
              <w:rPr>
                <w:color w:val="000000" w:themeColor="text1"/>
              </w:rPr>
            </w:pPr>
            <w:r w:rsidRPr="6B552B09">
              <w:rPr>
                <w:rFonts w:ascii="Arial" w:eastAsia="Arial" w:hAnsi="Arial" w:cs="Arial"/>
                <w:b/>
                <w:bCs/>
                <w:color w:val="000000" w:themeColor="text1"/>
              </w:rPr>
              <w:t xml:space="preserve"> </w:t>
            </w:r>
            <w:r w:rsidRPr="6B552B09">
              <w:rPr>
                <w:b/>
                <w:bCs/>
                <w:color w:val="000000" w:themeColor="text1"/>
              </w:rPr>
              <w:t>FERNANDO ANTONIO TORRES GARCIA</w:t>
            </w:r>
          </w:p>
          <w:p w14:paraId="5381FC8C" w14:textId="46E2A1AC" w:rsidR="6B552B09" w:rsidRDefault="6B552B09" w:rsidP="6B552B09">
            <w:pPr>
              <w:jc w:val="center"/>
              <w:rPr>
                <w:color w:val="000000" w:themeColor="text1"/>
              </w:rPr>
            </w:pPr>
            <w:r w:rsidRPr="6B552B09">
              <w:rPr>
                <w:color w:val="000000" w:themeColor="text1"/>
              </w:rPr>
              <w:t>Presidente do Tribunal de Justiça do Estado de São Paulo</w:t>
            </w:r>
          </w:p>
          <w:p w14:paraId="667CB5F0" w14:textId="27519AF5" w:rsidR="6B552B09" w:rsidRDefault="6B552B09" w:rsidP="6B552B09">
            <w:pPr>
              <w:jc w:val="center"/>
              <w:rPr>
                <w:color w:val="000000" w:themeColor="text1"/>
              </w:rPr>
            </w:pPr>
            <w:r w:rsidRPr="6B552B09">
              <w:rPr>
                <w:color w:val="000000" w:themeColor="text1"/>
              </w:rPr>
              <w:t>(assinado digitalmente)</w:t>
            </w:r>
          </w:p>
        </w:tc>
        <w:tc>
          <w:tcPr>
            <w:tcW w:w="4620" w:type="dxa"/>
            <w:tcBorders>
              <w:top w:val="nil"/>
              <w:left w:val="nil"/>
              <w:bottom w:val="nil"/>
              <w:right w:val="nil"/>
            </w:tcBorders>
            <w:tcMar>
              <w:left w:w="105" w:type="dxa"/>
              <w:right w:w="105" w:type="dxa"/>
            </w:tcMar>
          </w:tcPr>
          <w:p w14:paraId="14C7210D" w14:textId="52226F13" w:rsidR="6B552B09" w:rsidRDefault="6B552B09" w:rsidP="6B552B09">
            <w:pPr>
              <w:jc w:val="center"/>
              <w:rPr>
                <w:rFonts w:ascii="Arial" w:eastAsia="Arial" w:hAnsi="Arial" w:cs="Arial"/>
                <w:color w:val="000000" w:themeColor="text1"/>
              </w:rPr>
            </w:pPr>
            <w:r w:rsidRPr="6B552B09">
              <w:rPr>
                <w:rFonts w:ascii="Arial" w:eastAsia="Arial" w:hAnsi="Arial" w:cs="Arial"/>
                <w:color w:val="000000" w:themeColor="text1"/>
              </w:rPr>
              <w:t>___________________________</w:t>
            </w:r>
          </w:p>
          <w:p w14:paraId="6491498A" w14:textId="5A90BEA8" w:rsidR="3106EBE3" w:rsidRDefault="3106EBE3" w:rsidP="6B552B09">
            <w:pPr>
              <w:jc w:val="center"/>
              <w:rPr>
                <w:rFonts w:ascii="Times" w:eastAsia="Times" w:hAnsi="Times" w:cs="Times"/>
                <w:b/>
                <w:bCs/>
                <w:color w:val="000000" w:themeColor="text1"/>
                <w:highlight w:val="yellow"/>
              </w:rPr>
            </w:pPr>
            <w:r w:rsidRPr="5672E9FB">
              <w:rPr>
                <w:rFonts w:ascii="Times" w:eastAsia="Times" w:hAnsi="Times" w:cs="Times"/>
                <w:b/>
                <w:bCs/>
                <w:color w:val="000000" w:themeColor="text1"/>
                <w:highlight w:val="yellow"/>
              </w:rPr>
              <w:t>[</w:t>
            </w:r>
            <w:r w:rsidRPr="5672E9FB">
              <w:rPr>
                <w:b/>
                <w:bCs/>
                <w:i/>
                <w:iCs/>
                <w:color w:val="000000" w:themeColor="text1"/>
                <w:highlight w:val="yellow"/>
              </w:rPr>
              <w:t>Representante Legal</w:t>
            </w:r>
            <w:r w:rsidRPr="5672E9FB">
              <w:rPr>
                <w:rFonts w:ascii="Times" w:eastAsia="Times" w:hAnsi="Times" w:cs="Times"/>
                <w:b/>
                <w:bCs/>
                <w:color w:val="000000" w:themeColor="text1"/>
                <w:highlight w:val="yellow"/>
              </w:rPr>
              <w:t>]</w:t>
            </w:r>
          </w:p>
          <w:p w14:paraId="4D52D997" w14:textId="3053242E" w:rsidR="6B552B09" w:rsidRDefault="6B552B09" w:rsidP="5672E9FB">
            <w:pPr>
              <w:ind w:left="0" w:firstLine="0"/>
              <w:jc w:val="center"/>
              <w:rPr>
                <w:color w:val="000000" w:themeColor="text1"/>
              </w:rPr>
            </w:pPr>
            <w:r w:rsidRPr="5672E9FB">
              <w:rPr>
                <w:color w:val="000000" w:themeColor="text1"/>
              </w:rPr>
              <w:t>(assinado digitalmente)</w:t>
            </w:r>
          </w:p>
        </w:tc>
      </w:tr>
    </w:tbl>
    <w:p w14:paraId="1567D30A" w14:textId="2355C2D3" w:rsidR="6B552B09" w:rsidRDefault="6B552B09" w:rsidP="6B552B09">
      <w:pPr>
        <w:tabs>
          <w:tab w:val="center" w:pos="6370"/>
        </w:tabs>
        <w:spacing w:after="155" w:line="259" w:lineRule="auto"/>
        <w:ind w:left="0" w:right="0" w:firstLine="0"/>
        <w:jc w:val="left"/>
      </w:pPr>
    </w:p>
    <w:p w14:paraId="1BCA0F75" w14:textId="7B70167A" w:rsidR="6B552B09" w:rsidRDefault="6B552B09" w:rsidP="6B552B09">
      <w:pPr>
        <w:tabs>
          <w:tab w:val="center" w:pos="6370"/>
        </w:tabs>
        <w:spacing w:after="155" w:line="259" w:lineRule="auto"/>
        <w:ind w:left="0" w:right="0" w:firstLine="0"/>
        <w:jc w:val="left"/>
      </w:pPr>
    </w:p>
    <w:p w14:paraId="1FB7552D" w14:textId="411B9EC7" w:rsidR="6B552B09" w:rsidRDefault="6B552B09" w:rsidP="6B552B09">
      <w:pPr>
        <w:tabs>
          <w:tab w:val="center" w:pos="6370"/>
        </w:tabs>
        <w:spacing w:after="155" w:line="259" w:lineRule="auto"/>
        <w:ind w:left="0" w:right="0" w:firstLine="0"/>
        <w:jc w:val="left"/>
      </w:pPr>
    </w:p>
    <w:p w14:paraId="2B327C27" w14:textId="5EAA3DBC" w:rsidR="6B552B09" w:rsidRDefault="6B552B09" w:rsidP="6B552B09">
      <w:pPr>
        <w:tabs>
          <w:tab w:val="center" w:pos="6370"/>
        </w:tabs>
        <w:spacing w:after="155" w:line="259" w:lineRule="auto"/>
        <w:ind w:left="0" w:right="0" w:firstLine="0"/>
        <w:jc w:val="left"/>
      </w:pPr>
    </w:p>
    <w:p w14:paraId="2FA0C46D" w14:textId="1B68BA1D" w:rsidR="6B552B09" w:rsidRDefault="6B552B09" w:rsidP="6B552B09">
      <w:pPr>
        <w:tabs>
          <w:tab w:val="center" w:pos="6370"/>
        </w:tabs>
        <w:spacing w:after="155" w:line="259" w:lineRule="auto"/>
        <w:ind w:left="0" w:right="0" w:firstLine="0"/>
        <w:jc w:val="left"/>
      </w:pPr>
    </w:p>
    <w:p w14:paraId="0544FA72" w14:textId="6180359C" w:rsidR="6B552B09" w:rsidRDefault="6B552B09" w:rsidP="6B552B09">
      <w:pPr>
        <w:tabs>
          <w:tab w:val="center" w:pos="6370"/>
        </w:tabs>
        <w:spacing w:after="155" w:line="259" w:lineRule="auto"/>
        <w:ind w:left="0" w:right="0" w:firstLine="0"/>
        <w:jc w:val="left"/>
      </w:pPr>
    </w:p>
    <w:p w14:paraId="3674C88E" w14:textId="77777777" w:rsidR="0091385B" w:rsidRDefault="00F87590">
      <w:pPr>
        <w:spacing w:after="264" w:line="259" w:lineRule="auto"/>
        <w:ind w:left="2269" w:right="0" w:firstLine="0"/>
        <w:jc w:val="left"/>
      </w:pPr>
      <w:r>
        <w:rPr>
          <w:b/>
        </w:rPr>
        <w:t xml:space="preserve"> </w:t>
      </w:r>
    </w:p>
    <w:p w14:paraId="393EB3D9" w14:textId="77777777" w:rsidR="0091385B" w:rsidRDefault="00F87590">
      <w:pPr>
        <w:spacing w:after="0" w:line="259" w:lineRule="auto"/>
        <w:ind w:left="0" w:right="0" w:firstLine="0"/>
        <w:jc w:val="left"/>
      </w:pPr>
      <w:r>
        <w:t xml:space="preserve"> </w:t>
      </w:r>
      <w:r>
        <w:tab/>
        <w:t xml:space="preserve"> </w:t>
      </w:r>
    </w:p>
    <w:p w14:paraId="35865CFB" w14:textId="77777777" w:rsidR="0091385B" w:rsidRDefault="00F87590">
      <w:pPr>
        <w:spacing w:after="235" w:line="259" w:lineRule="auto"/>
        <w:ind w:left="0" w:right="0" w:firstLine="0"/>
        <w:jc w:val="left"/>
      </w:pPr>
      <w:r>
        <w:t xml:space="preserve"> </w:t>
      </w:r>
    </w:p>
    <w:p w14:paraId="18F3DCB6" w14:textId="4356F919" w:rsidR="0091385B" w:rsidRDefault="0091385B">
      <w:pPr>
        <w:pStyle w:val="Ttulo2"/>
        <w:ind w:left="10" w:right="5"/>
      </w:pPr>
    </w:p>
    <w:p w14:paraId="7B760641" w14:textId="77B2FA06" w:rsidR="0091385B" w:rsidRDefault="00F87590" w:rsidP="4FACC830">
      <w:r>
        <w:br w:type="page"/>
      </w:r>
    </w:p>
    <w:p w14:paraId="7EA9D828" w14:textId="1098EB01" w:rsidR="0091385B" w:rsidRDefault="00F87590">
      <w:pPr>
        <w:pStyle w:val="Ttulo2"/>
        <w:ind w:left="10" w:right="5"/>
      </w:pPr>
      <w:r>
        <w:lastRenderedPageBreak/>
        <w:t xml:space="preserve">PLANO DE TRABALHO </w:t>
      </w:r>
    </w:p>
    <w:p w14:paraId="54D6619A" w14:textId="77777777" w:rsidR="0091385B" w:rsidRDefault="00F87590">
      <w:pPr>
        <w:numPr>
          <w:ilvl w:val="0"/>
          <w:numId w:val="12"/>
        </w:numPr>
        <w:spacing w:after="248" w:line="259" w:lineRule="auto"/>
        <w:ind w:right="0" w:hanging="154"/>
        <w:jc w:val="left"/>
      </w:pPr>
      <w:r>
        <w:rPr>
          <w:b/>
        </w:rPr>
        <w:t xml:space="preserve">– IDENTIFICAÇÃO DO OBJETO: </w:t>
      </w:r>
    </w:p>
    <w:p w14:paraId="3F6B4084" w14:textId="77777777" w:rsidR="0091385B" w:rsidRDefault="00F87590">
      <w:pPr>
        <w:ind w:left="-5" w:right="0"/>
      </w:pPr>
      <w:r>
        <w:t xml:space="preserve">Integração entre os sistemas do </w:t>
      </w:r>
      <w:r>
        <w:rPr>
          <w:b/>
        </w:rPr>
        <w:t xml:space="preserve">Tribunal de Justiça do Estado de São Paulo </w:t>
      </w:r>
      <w:r>
        <w:t xml:space="preserve">e do </w:t>
      </w:r>
      <w:r>
        <w:rPr>
          <w:shd w:val="clear" w:color="auto" w:fill="FFFF00"/>
        </w:rPr>
        <w:t>[</w:t>
      </w:r>
      <w:r>
        <w:rPr>
          <w:rFonts w:ascii="Arial" w:eastAsia="Arial" w:hAnsi="Arial" w:cs="Arial"/>
          <w:shd w:val="clear" w:color="auto" w:fill="FFFF00"/>
        </w:rPr>
        <w:t>●</w:t>
      </w:r>
      <w:r>
        <w:rPr>
          <w:shd w:val="clear" w:color="auto" w:fill="FFFF00"/>
        </w:rPr>
        <w:t>]</w:t>
      </w:r>
      <w:r>
        <w:t xml:space="preserve"> para processamento digital de feitos, através do intercâmbio de dados por intermédio de integração Web Service e compartilhamento das operações. </w:t>
      </w:r>
    </w:p>
    <w:p w14:paraId="1096CD31" w14:textId="4D22362D" w:rsidR="0091385B" w:rsidRDefault="00F87590">
      <w:pPr>
        <w:numPr>
          <w:ilvl w:val="0"/>
          <w:numId w:val="12"/>
        </w:numPr>
        <w:spacing w:line="358" w:lineRule="auto"/>
        <w:ind w:right="0" w:hanging="154"/>
        <w:jc w:val="left"/>
      </w:pPr>
      <w:r>
        <w:rPr>
          <w:b/>
        </w:rPr>
        <w:t xml:space="preserve">– RAZÕES QUE JUSTIFIQUEM A CELEBRAÇÃO DO TERMO DE COOPERAÇÃO TÉCNICA: </w:t>
      </w:r>
    </w:p>
    <w:p w14:paraId="044A7DFD" w14:textId="77777777" w:rsidR="0091385B" w:rsidRDefault="00F87590">
      <w:pPr>
        <w:ind w:left="-5" w:right="0"/>
      </w:pPr>
      <w:r>
        <w:t xml:space="preserve">O peticionamento eletrônico em lote pelo </w:t>
      </w:r>
      <w:r>
        <w:rPr>
          <w:shd w:val="clear" w:color="auto" w:fill="FFFF00"/>
        </w:rPr>
        <w:t>[</w:t>
      </w:r>
      <w:r>
        <w:rPr>
          <w:rFonts w:ascii="Arial" w:eastAsia="Arial" w:hAnsi="Arial" w:cs="Arial"/>
          <w:shd w:val="clear" w:color="auto" w:fill="FFFF00"/>
        </w:rPr>
        <w:t>●</w:t>
      </w:r>
      <w:r>
        <w:rPr>
          <w:shd w:val="clear" w:color="auto" w:fill="FFFF00"/>
        </w:rPr>
        <w:t>]</w:t>
      </w:r>
      <w:r>
        <w:t xml:space="preserve"> visa conferir celeridade no andamento dos processos em que estes tenham interesse, aumentando a eficiência e produzindo resposta satisfatória da prestação jurisdicional à sociedade. </w:t>
      </w:r>
    </w:p>
    <w:p w14:paraId="38CFF454" w14:textId="77777777" w:rsidR="0091385B" w:rsidRDefault="00F87590">
      <w:pPr>
        <w:spacing w:line="358" w:lineRule="auto"/>
        <w:ind w:left="-5" w:right="0"/>
        <w:jc w:val="left"/>
      </w:pPr>
      <w:r>
        <w:rPr>
          <w:b/>
        </w:rPr>
        <w:t xml:space="preserve">III – OBJETO COMPROVADAMENTE DE INTERESSE RECÍPROCO (COMUM) DAS PARTES: </w:t>
      </w:r>
    </w:p>
    <w:p w14:paraId="1CDD14CF" w14:textId="77777777" w:rsidR="0091385B" w:rsidRDefault="00F87590">
      <w:pPr>
        <w:ind w:left="-5" w:right="0"/>
      </w:pPr>
      <w:r>
        <w:t xml:space="preserve">O objeto de interesse comum se traduz no aprimoramento recíproco dos serviços, através da troca de informações entre as partes, por meio do intercâmbio de dados em meio eletrônico. </w:t>
      </w:r>
    </w:p>
    <w:p w14:paraId="6873F7F4" w14:textId="77777777" w:rsidR="0091385B" w:rsidRDefault="00F87590">
      <w:pPr>
        <w:numPr>
          <w:ilvl w:val="0"/>
          <w:numId w:val="13"/>
        </w:numPr>
        <w:spacing w:after="243" w:line="259" w:lineRule="auto"/>
        <w:ind w:right="0" w:hanging="326"/>
        <w:jc w:val="left"/>
      </w:pPr>
      <w:r>
        <w:rPr>
          <w:b/>
        </w:rPr>
        <w:t xml:space="preserve">– DA META A SER ATINGIDA: </w:t>
      </w:r>
    </w:p>
    <w:p w14:paraId="43FC32AB" w14:textId="77777777" w:rsidR="0091385B" w:rsidRDefault="00F87590">
      <w:pPr>
        <w:ind w:left="-5" w:right="0"/>
      </w:pPr>
      <w:r>
        <w:t xml:space="preserve">Aumento da celeridade na tramitação das ações de interesse do </w:t>
      </w:r>
      <w:r>
        <w:rPr>
          <w:shd w:val="clear" w:color="auto" w:fill="FFFF00"/>
        </w:rPr>
        <w:t>[</w:t>
      </w:r>
      <w:r>
        <w:rPr>
          <w:rFonts w:ascii="Arial" w:eastAsia="Arial" w:hAnsi="Arial" w:cs="Arial"/>
          <w:shd w:val="clear" w:color="auto" w:fill="FFFF00"/>
        </w:rPr>
        <w:t>●</w:t>
      </w:r>
      <w:r>
        <w:rPr>
          <w:shd w:val="clear" w:color="auto" w:fill="FFFF00"/>
        </w:rPr>
        <w:t>]</w:t>
      </w:r>
      <w:r>
        <w:t xml:space="preserve"> para ajuizamentos, petições e intimações, gerando eficiência e resposta rápida à sociedade na prestação jurisdicional. </w:t>
      </w:r>
    </w:p>
    <w:p w14:paraId="3D309A98" w14:textId="77777777" w:rsidR="0091385B" w:rsidRDefault="00F87590">
      <w:pPr>
        <w:numPr>
          <w:ilvl w:val="0"/>
          <w:numId w:val="13"/>
        </w:numPr>
        <w:spacing w:line="357" w:lineRule="auto"/>
        <w:ind w:right="0" w:hanging="326"/>
        <w:jc w:val="left"/>
      </w:pPr>
      <w:r>
        <w:rPr>
          <w:b/>
        </w:rPr>
        <w:t xml:space="preserve">– DO CUSTEIO DAS DESPESAS DECORRENTES DO TERMO DE COOPERAÇÃO TÉCNICA:  </w:t>
      </w:r>
    </w:p>
    <w:p w14:paraId="0CA79635" w14:textId="77777777" w:rsidR="0091385B" w:rsidRDefault="00F87590">
      <w:pPr>
        <w:ind w:left="-5" w:right="0"/>
      </w:pPr>
      <w:r>
        <w:t xml:space="preserve">Não haverá repasse de verbas, nem é devida qualquer remuneração entre as partes, pelo intercâmbio de dados em meio eletrônico, objeto deste Termo de Cooperação Técnica. </w:t>
      </w:r>
    </w:p>
    <w:p w14:paraId="143A32B1" w14:textId="77777777" w:rsidR="0091385B" w:rsidRDefault="00F87590">
      <w:pPr>
        <w:ind w:left="-5" w:right="0"/>
      </w:pPr>
      <w:r>
        <w:t xml:space="preserve">Os recursos humanos utilizados por quaisquer dos partícipes, em decorrência das atividades relativas a este Termo, não sofrerão alteração na sua vinculação, nem acarretarão quaisquer ônus ao outro partícipe. </w:t>
      </w:r>
    </w:p>
    <w:p w14:paraId="17B77610" w14:textId="77777777" w:rsidR="0091385B" w:rsidRDefault="00F87590">
      <w:pPr>
        <w:numPr>
          <w:ilvl w:val="0"/>
          <w:numId w:val="13"/>
        </w:numPr>
        <w:spacing w:after="3" w:line="460" w:lineRule="auto"/>
        <w:ind w:right="0" w:hanging="326"/>
        <w:jc w:val="left"/>
      </w:pPr>
      <w:r>
        <w:rPr>
          <w:b/>
        </w:rPr>
        <w:lastRenderedPageBreak/>
        <w:t xml:space="preserve">– ETAPAS OU FASES DE EXECUÇÃO: PRIMEIRA FASE – PLANEJAMENTO (1º Mês) </w:t>
      </w:r>
    </w:p>
    <w:p w14:paraId="7438FB68" w14:textId="77777777" w:rsidR="0091385B" w:rsidRDefault="00F87590">
      <w:pPr>
        <w:spacing w:after="243" w:line="259" w:lineRule="auto"/>
        <w:ind w:left="-5" w:right="0"/>
        <w:jc w:val="left"/>
      </w:pPr>
      <w:r>
        <w:rPr>
          <w:b/>
        </w:rPr>
        <w:t xml:space="preserve">Das obrigações: </w:t>
      </w:r>
    </w:p>
    <w:p w14:paraId="4911BC71" w14:textId="77777777" w:rsidR="0091385B" w:rsidRDefault="00F87590">
      <w:pPr>
        <w:numPr>
          <w:ilvl w:val="0"/>
          <w:numId w:val="14"/>
        </w:numPr>
        <w:ind w:right="0" w:hanging="257"/>
      </w:pPr>
      <w:r>
        <w:t xml:space="preserve">Pelo </w:t>
      </w:r>
      <w:r>
        <w:rPr>
          <w:shd w:val="clear" w:color="auto" w:fill="FFFF00"/>
        </w:rPr>
        <w:t>[</w:t>
      </w:r>
      <w:r>
        <w:rPr>
          <w:rFonts w:ascii="Arial" w:eastAsia="Arial" w:hAnsi="Arial" w:cs="Arial"/>
          <w:shd w:val="clear" w:color="auto" w:fill="FFFF00"/>
        </w:rPr>
        <w:t>●</w:t>
      </w:r>
      <w:r>
        <w:rPr>
          <w:shd w:val="clear" w:color="auto" w:fill="FFFF00"/>
        </w:rPr>
        <w:t>]</w:t>
      </w:r>
      <w:r>
        <w:rPr>
          <w:b/>
        </w:rPr>
        <w:t xml:space="preserve">: </w:t>
      </w:r>
      <w:r>
        <w:t xml:space="preserve">possuir recursos técnicos próprios ou contratação de empresa para desenvolvimento da integração Web Service; </w:t>
      </w:r>
      <w:r>
        <w:rPr>
          <w:b/>
        </w:rPr>
        <w:t xml:space="preserve">(1º Mês) </w:t>
      </w:r>
    </w:p>
    <w:p w14:paraId="48771809" w14:textId="77777777" w:rsidR="0091385B" w:rsidRDefault="00F87590">
      <w:pPr>
        <w:numPr>
          <w:ilvl w:val="0"/>
          <w:numId w:val="14"/>
        </w:numPr>
        <w:spacing w:line="259" w:lineRule="auto"/>
        <w:ind w:right="0" w:hanging="257"/>
      </w:pPr>
      <w:r>
        <w:t xml:space="preserve">Definir os representantes do Tribunal de Justiça que farão parte do grupo de trabalho; </w:t>
      </w:r>
    </w:p>
    <w:p w14:paraId="1BE1FB12" w14:textId="77777777" w:rsidR="0091385B" w:rsidRDefault="00F87590">
      <w:pPr>
        <w:spacing w:after="244" w:line="259" w:lineRule="auto"/>
        <w:ind w:left="-5" w:right="0"/>
        <w:jc w:val="left"/>
      </w:pPr>
      <w:r>
        <w:rPr>
          <w:b/>
        </w:rPr>
        <w:t xml:space="preserve">(1º Mês) </w:t>
      </w:r>
    </w:p>
    <w:p w14:paraId="4769A74C" w14:textId="77777777" w:rsidR="0091385B" w:rsidRDefault="00F87590">
      <w:pPr>
        <w:numPr>
          <w:ilvl w:val="0"/>
          <w:numId w:val="14"/>
        </w:numPr>
        <w:spacing w:after="233" w:line="259" w:lineRule="auto"/>
        <w:ind w:right="0" w:hanging="257"/>
      </w:pPr>
      <w:r>
        <w:t xml:space="preserve">Definir os representantes do </w:t>
      </w:r>
      <w:r>
        <w:rPr>
          <w:shd w:val="clear" w:color="auto" w:fill="FFFF00"/>
        </w:rPr>
        <w:t>[</w:t>
      </w:r>
      <w:r>
        <w:rPr>
          <w:rFonts w:ascii="Arial" w:eastAsia="Arial" w:hAnsi="Arial" w:cs="Arial"/>
          <w:shd w:val="clear" w:color="auto" w:fill="FFFF00"/>
        </w:rPr>
        <w:t>●</w:t>
      </w:r>
      <w:r>
        <w:rPr>
          <w:shd w:val="clear" w:color="auto" w:fill="FFFF00"/>
        </w:rPr>
        <w:t>]</w:t>
      </w:r>
      <w:r>
        <w:t xml:space="preserve"> que farão parte do grupo de trabalho; </w:t>
      </w:r>
      <w:r>
        <w:rPr>
          <w:b/>
        </w:rPr>
        <w:t xml:space="preserve">(1º Mês) </w:t>
      </w:r>
    </w:p>
    <w:p w14:paraId="3B43EC92" w14:textId="77777777" w:rsidR="0091385B" w:rsidRDefault="00F87590">
      <w:pPr>
        <w:numPr>
          <w:ilvl w:val="0"/>
          <w:numId w:val="14"/>
        </w:numPr>
        <w:ind w:right="0" w:hanging="257"/>
      </w:pPr>
      <w:r>
        <w:t xml:space="preserve">Elaborar planejamento, em conjunto entre o Tribunal de Justiça do Estado de São Paulo e o </w:t>
      </w:r>
      <w:r>
        <w:rPr>
          <w:shd w:val="clear" w:color="auto" w:fill="FFFF00"/>
        </w:rPr>
        <w:t>[</w:t>
      </w:r>
      <w:r>
        <w:rPr>
          <w:rFonts w:ascii="Arial" w:eastAsia="Arial" w:hAnsi="Arial" w:cs="Arial"/>
          <w:shd w:val="clear" w:color="auto" w:fill="FFFF00"/>
        </w:rPr>
        <w:t>●</w:t>
      </w:r>
      <w:r>
        <w:rPr>
          <w:shd w:val="clear" w:color="auto" w:fill="FFFF00"/>
        </w:rPr>
        <w:t>]</w:t>
      </w:r>
      <w:r>
        <w:t xml:space="preserve">. </w:t>
      </w:r>
      <w:r>
        <w:rPr>
          <w:b/>
        </w:rPr>
        <w:t xml:space="preserve">(1º Mês) </w:t>
      </w:r>
    </w:p>
    <w:p w14:paraId="37D76E56" w14:textId="77777777" w:rsidR="0091385B" w:rsidRDefault="00F87590">
      <w:pPr>
        <w:spacing w:line="259" w:lineRule="auto"/>
        <w:ind w:left="-5" w:right="0"/>
        <w:jc w:val="left"/>
      </w:pPr>
      <w:r>
        <w:rPr>
          <w:b/>
        </w:rPr>
        <w:t xml:space="preserve">SEGUNDA FASE – HOMOLOGAÇÃO DOS EVENTOS DE INTEGRAÇÃO </w:t>
      </w:r>
    </w:p>
    <w:p w14:paraId="5EB0B627" w14:textId="77777777" w:rsidR="0091385B" w:rsidRDefault="00F87590">
      <w:pPr>
        <w:spacing w:after="235" w:line="259" w:lineRule="auto"/>
        <w:ind w:left="-5" w:right="0"/>
        <w:jc w:val="left"/>
      </w:pPr>
      <w:r>
        <w:rPr>
          <w:b/>
        </w:rPr>
        <w:t xml:space="preserve">PARA INTIMAÇÕES/PETIÇÕES/CONSULTA (1º ao 5º mês) </w:t>
      </w:r>
    </w:p>
    <w:p w14:paraId="3C48D900" w14:textId="77777777" w:rsidR="0091385B" w:rsidRDefault="00F87590">
      <w:pPr>
        <w:spacing w:after="262" w:line="259" w:lineRule="auto"/>
        <w:ind w:left="-5" w:right="0"/>
        <w:jc w:val="left"/>
      </w:pPr>
      <w:r>
        <w:rPr>
          <w:b/>
        </w:rPr>
        <w:t xml:space="preserve">Das obrigações do TJSP: </w:t>
      </w:r>
    </w:p>
    <w:p w14:paraId="51B99EE1" w14:textId="77777777" w:rsidR="0091385B" w:rsidRDefault="00F87590" w:rsidP="0055540D">
      <w:pPr>
        <w:numPr>
          <w:ilvl w:val="0"/>
          <w:numId w:val="15"/>
        </w:numPr>
        <w:spacing w:line="259" w:lineRule="auto"/>
        <w:ind w:left="284" w:right="0" w:hanging="284"/>
      </w:pPr>
      <w:r>
        <w:t xml:space="preserve">Disponibilizar </w:t>
      </w:r>
      <w:r>
        <w:tab/>
        <w:t xml:space="preserve">documentação </w:t>
      </w:r>
      <w:r>
        <w:tab/>
        <w:t xml:space="preserve">referente </w:t>
      </w:r>
      <w:r>
        <w:tab/>
        <w:t xml:space="preserve">às </w:t>
      </w:r>
      <w:r>
        <w:tab/>
        <w:t xml:space="preserve">integrações </w:t>
      </w:r>
      <w:r>
        <w:tab/>
        <w:t xml:space="preserve">para </w:t>
      </w:r>
    </w:p>
    <w:p w14:paraId="5910FB53" w14:textId="77336297" w:rsidR="0091385B" w:rsidRDefault="00F87590" w:rsidP="0055540D">
      <w:pPr>
        <w:ind w:right="0"/>
      </w:pPr>
      <w:r>
        <w:t>Peticionamentos/</w:t>
      </w:r>
      <w:r w:rsidR="0055540D">
        <w:t xml:space="preserve"> </w:t>
      </w:r>
      <w:r>
        <w:t xml:space="preserve">Intimações eletrônicas (padrão de integração) com todas as informações necessárias para desenvolvimento por parte do </w:t>
      </w:r>
      <w:r w:rsidRPr="0055540D">
        <w:rPr>
          <w:shd w:val="clear" w:color="auto" w:fill="FFFF00"/>
        </w:rPr>
        <w:t>[</w:t>
      </w:r>
      <w:r w:rsidRPr="0055540D">
        <w:rPr>
          <w:rFonts w:ascii="Arial" w:eastAsia="Arial" w:hAnsi="Arial" w:cs="Arial"/>
          <w:shd w:val="clear" w:color="auto" w:fill="FFFF00"/>
        </w:rPr>
        <w:t>●</w:t>
      </w:r>
      <w:r w:rsidRPr="0055540D">
        <w:rPr>
          <w:shd w:val="clear" w:color="auto" w:fill="FFFF00"/>
        </w:rPr>
        <w:t>]</w:t>
      </w:r>
      <w:r>
        <w:t xml:space="preserve">; </w:t>
      </w:r>
      <w:r w:rsidRPr="0055540D">
        <w:rPr>
          <w:b/>
        </w:rPr>
        <w:t xml:space="preserve">(1º Mês)  </w:t>
      </w:r>
    </w:p>
    <w:p w14:paraId="7B8673F8" w14:textId="77777777" w:rsidR="0091385B" w:rsidRDefault="00F87590" w:rsidP="0055540D">
      <w:pPr>
        <w:numPr>
          <w:ilvl w:val="0"/>
          <w:numId w:val="15"/>
        </w:numPr>
        <w:spacing w:after="233" w:line="259" w:lineRule="auto"/>
        <w:ind w:left="284" w:right="0" w:hanging="284"/>
      </w:pPr>
      <w:r>
        <w:t xml:space="preserve">Preparar ambiente de testes e disponibilizar login e senha ao </w:t>
      </w:r>
      <w:r>
        <w:rPr>
          <w:shd w:val="clear" w:color="auto" w:fill="FFFF00"/>
        </w:rPr>
        <w:t>[</w:t>
      </w:r>
      <w:r>
        <w:rPr>
          <w:rFonts w:ascii="Arial" w:eastAsia="Arial" w:hAnsi="Arial" w:cs="Arial"/>
          <w:shd w:val="clear" w:color="auto" w:fill="FFFF00"/>
        </w:rPr>
        <w:t>●</w:t>
      </w:r>
      <w:r>
        <w:rPr>
          <w:shd w:val="clear" w:color="auto" w:fill="FFFF00"/>
        </w:rPr>
        <w:t>]</w:t>
      </w:r>
      <w:r>
        <w:t xml:space="preserve">; </w:t>
      </w:r>
      <w:r>
        <w:rPr>
          <w:b/>
        </w:rPr>
        <w:t xml:space="preserve">(1º Mês) </w:t>
      </w:r>
    </w:p>
    <w:p w14:paraId="701BE29C" w14:textId="77777777" w:rsidR="0091385B" w:rsidRDefault="00F87590" w:rsidP="0055540D">
      <w:pPr>
        <w:numPr>
          <w:ilvl w:val="0"/>
          <w:numId w:val="15"/>
        </w:numPr>
        <w:spacing w:after="244" w:line="259" w:lineRule="auto"/>
        <w:ind w:left="284" w:right="0" w:hanging="284"/>
      </w:pPr>
      <w:r>
        <w:t xml:space="preserve">Executar os testes funcionais de ambiente; </w:t>
      </w:r>
      <w:r>
        <w:rPr>
          <w:b/>
        </w:rPr>
        <w:t xml:space="preserve">(1º Mês) </w:t>
      </w:r>
    </w:p>
    <w:p w14:paraId="78D15BB3" w14:textId="77777777" w:rsidR="0091385B" w:rsidRDefault="00F87590" w:rsidP="0055540D">
      <w:pPr>
        <w:numPr>
          <w:ilvl w:val="0"/>
          <w:numId w:val="15"/>
        </w:numPr>
        <w:spacing w:after="243" w:line="259" w:lineRule="auto"/>
        <w:ind w:left="284" w:right="0" w:hanging="284"/>
      </w:pPr>
      <w:r>
        <w:t xml:space="preserve">Encaminhar ao </w:t>
      </w:r>
      <w:r>
        <w:rPr>
          <w:shd w:val="clear" w:color="auto" w:fill="FFFF00"/>
        </w:rPr>
        <w:t>[</w:t>
      </w:r>
      <w:r>
        <w:rPr>
          <w:rFonts w:ascii="Arial" w:eastAsia="Arial" w:hAnsi="Arial" w:cs="Arial"/>
          <w:shd w:val="clear" w:color="auto" w:fill="FFFF00"/>
        </w:rPr>
        <w:t>●</w:t>
      </w:r>
      <w:r>
        <w:rPr>
          <w:shd w:val="clear" w:color="auto" w:fill="FFFF00"/>
        </w:rPr>
        <w:t>]</w:t>
      </w:r>
      <w:r>
        <w:t xml:space="preserve">, tabela de classes e assuntos; </w:t>
      </w:r>
      <w:r>
        <w:rPr>
          <w:b/>
        </w:rPr>
        <w:t xml:space="preserve">(1º Mês) </w:t>
      </w:r>
    </w:p>
    <w:p w14:paraId="12B7EAED" w14:textId="77777777" w:rsidR="0091385B" w:rsidRDefault="00F87590" w:rsidP="0055540D">
      <w:pPr>
        <w:numPr>
          <w:ilvl w:val="0"/>
          <w:numId w:val="15"/>
        </w:numPr>
        <w:spacing w:after="233" w:line="259" w:lineRule="auto"/>
        <w:ind w:left="284" w:right="0" w:hanging="284"/>
      </w:pPr>
      <w:r>
        <w:t xml:space="preserve">Testar/homologar, em conjunto com o </w:t>
      </w:r>
      <w:r>
        <w:rPr>
          <w:shd w:val="clear" w:color="auto" w:fill="FFFF00"/>
        </w:rPr>
        <w:t>[</w:t>
      </w:r>
      <w:r>
        <w:rPr>
          <w:rFonts w:ascii="Arial" w:eastAsia="Arial" w:hAnsi="Arial" w:cs="Arial"/>
          <w:shd w:val="clear" w:color="auto" w:fill="FFFF00"/>
        </w:rPr>
        <w:t>●</w:t>
      </w:r>
      <w:r>
        <w:rPr>
          <w:shd w:val="clear" w:color="auto" w:fill="FFFF00"/>
        </w:rPr>
        <w:t>]</w:t>
      </w:r>
      <w:r>
        <w:t xml:space="preserve">, os seguintes eventos: </w:t>
      </w:r>
    </w:p>
    <w:p w14:paraId="34BC342E" w14:textId="00DE6928" w:rsidR="0091385B" w:rsidRDefault="00F87590" w:rsidP="0055540D">
      <w:pPr>
        <w:pStyle w:val="PargrafodaLista"/>
        <w:ind w:right="0" w:firstLine="0"/>
      </w:pPr>
      <w:r>
        <w:t>Peticionamento de iniciais, intimações, petições intermediárias e consulta integral de</w:t>
      </w:r>
      <w:r w:rsidR="0055540D">
        <w:t xml:space="preserve"> </w:t>
      </w:r>
      <w:r>
        <w:t xml:space="preserve">processos. </w:t>
      </w:r>
      <w:r w:rsidRPr="0055540D">
        <w:rPr>
          <w:b/>
        </w:rPr>
        <w:t xml:space="preserve">(1º ao 5º Mês) </w:t>
      </w:r>
    </w:p>
    <w:p w14:paraId="332A9763" w14:textId="77777777" w:rsidR="0091385B" w:rsidRDefault="00F87590">
      <w:pPr>
        <w:spacing w:after="243" w:line="259" w:lineRule="auto"/>
        <w:ind w:left="-5" w:right="0"/>
        <w:jc w:val="left"/>
      </w:pPr>
      <w:r>
        <w:rPr>
          <w:b/>
        </w:rPr>
        <w:t xml:space="preserve">Das obrigações do </w:t>
      </w:r>
      <w:r>
        <w:rPr>
          <w:shd w:val="clear" w:color="auto" w:fill="FFFF00"/>
        </w:rPr>
        <w:t>[</w:t>
      </w:r>
      <w:r>
        <w:rPr>
          <w:rFonts w:ascii="Arial" w:eastAsia="Arial" w:hAnsi="Arial" w:cs="Arial"/>
          <w:shd w:val="clear" w:color="auto" w:fill="FFFF00"/>
        </w:rPr>
        <w:t>●</w:t>
      </w:r>
      <w:r>
        <w:rPr>
          <w:shd w:val="clear" w:color="auto" w:fill="FFFF00"/>
        </w:rPr>
        <w:t>]</w:t>
      </w:r>
      <w:r>
        <w:rPr>
          <w:b/>
        </w:rPr>
        <w:t xml:space="preserve">: </w:t>
      </w:r>
    </w:p>
    <w:p w14:paraId="03FE802B" w14:textId="77777777" w:rsidR="0091385B" w:rsidRDefault="00F87590">
      <w:pPr>
        <w:numPr>
          <w:ilvl w:val="0"/>
          <w:numId w:val="16"/>
        </w:numPr>
        <w:spacing w:line="259" w:lineRule="auto"/>
        <w:ind w:right="0" w:hanging="228"/>
      </w:pPr>
      <w:r>
        <w:t xml:space="preserve">Realizar as adequações necessárias no ambiente do </w:t>
      </w:r>
      <w:r>
        <w:rPr>
          <w:shd w:val="clear" w:color="auto" w:fill="FFFF00"/>
        </w:rPr>
        <w:t>[</w:t>
      </w:r>
      <w:r>
        <w:rPr>
          <w:rFonts w:ascii="Arial" w:eastAsia="Arial" w:hAnsi="Arial" w:cs="Arial"/>
          <w:shd w:val="clear" w:color="auto" w:fill="FFFF00"/>
        </w:rPr>
        <w:t>●</w:t>
      </w:r>
      <w:r>
        <w:rPr>
          <w:shd w:val="clear" w:color="auto" w:fill="FFFF00"/>
        </w:rPr>
        <w:t>]</w:t>
      </w:r>
      <w:r>
        <w:t xml:space="preserve">, de acordo com a documentação </w:t>
      </w:r>
    </w:p>
    <w:p w14:paraId="5587A4DF" w14:textId="77777777" w:rsidR="0091385B" w:rsidRDefault="00F87590">
      <w:pPr>
        <w:spacing w:after="233" w:line="259" w:lineRule="auto"/>
        <w:ind w:left="-5" w:right="0"/>
      </w:pPr>
      <w:r>
        <w:t xml:space="preserve">(padrão de integração) disponibilizada pelo Tribunal de Justiça; </w:t>
      </w:r>
      <w:r>
        <w:rPr>
          <w:b/>
        </w:rPr>
        <w:t xml:space="preserve">(1º Mês) </w:t>
      </w:r>
    </w:p>
    <w:p w14:paraId="4FCCE224" w14:textId="77777777" w:rsidR="0091385B" w:rsidRDefault="00F87590">
      <w:pPr>
        <w:numPr>
          <w:ilvl w:val="0"/>
          <w:numId w:val="16"/>
        </w:numPr>
        <w:ind w:right="0" w:hanging="228"/>
      </w:pPr>
      <w:r>
        <w:lastRenderedPageBreak/>
        <w:t xml:space="preserve">Adequar a tabela de classes e assuntos fornecida pelo Tribunal com os códigos utilizados pelo </w:t>
      </w:r>
      <w:r>
        <w:rPr>
          <w:shd w:val="clear" w:color="auto" w:fill="FFFF00"/>
        </w:rPr>
        <w:t>[</w:t>
      </w:r>
      <w:r>
        <w:rPr>
          <w:rFonts w:ascii="Arial" w:eastAsia="Arial" w:hAnsi="Arial" w:cs="Arial"/>
          <w:shd w:val="clear" w:color="auto" w:fill="FFFF00"/>
        </w:rPr>
        <w:t>●</w:t>
      </w:r>
      <w:r>
        <w:rPr>
          <w:shd w:val="clear" w:color="auto" w:fill="FFFF00"/>
        </w:rPr>
        <w:t>]</w:t>
      </w:r>
      <w:r>
        <w:t xml:space="preserve">; </w:t>
      </w:r>
      <w:r>
        <w:rPr>
          <w:b/>
        </w:rPr>
        <w:t xml:space="preserve">(1º Mês) </w:t>
      </w:r>
    </w:p>
    <w:p w14:paraId="020C64D6" w14:textId="77777777" w:rsidR="0091385B" w:rsidRDefault="00F87590">
      <w:pPr>
        <w:numPr>
          <w:ilvl w:val="0"/>
          <w:numId w:val="16"/>
        </w:numPr>
        <w:spacing w:after="232" w:line="259" w:lineRule="auto"/>
        <w:ind w:right="0" w:hanging="228"/>
      </w:pPr>
      <w:r>
        <w:t xml:space="preserve">Testar/homologar, em conjunto com o Tribunal de Justiça, os seguintes eventos: </w:t>
      </w:r>
    </w:p>
    <w:p w14:paraId="30850C7B" w14:textId="77777777" w:rsidR="0091385B" w:rsidRDefault="00F87590">
      <w:pPr>
        <w:ind w:left="-5" w:right="0"/>
      </w:pPr>
      <w:r>
        <w:t xml:space="preserve">Peticionamento de iniciais, intimações, petições intermediárias e consulta integral de processos. </w:t>
      </w:r>
      <w:r>
        <w:rPr>
          <w:b/>
        </w:rPr>
        <w:t xml:space="preserve">(1º ao 5º Mês) </w:t>
      </w:r>
    </w:p>
    <w:p w14:paraId="7B3CA100" w14:textId="77777777" w:rsidR="0091385B" w:rsidRDefault="00F87590">
      <w:pPr>
        <w:spacing w:after="235" w:line="259" w:lineRule="auto"/>
        <w:ind w:left="-5" w:right="0"/>
        <w:jc w:val="left"/>
      </w:pPr>
      <w:r>
        <w:rPr>
          <w:b/>
        </w:rPr>
        <w:t xml:space="preserve">TERCEIRA FASE – IMPLANTAÇÃO (6º Mês) </w:t>
      </w:r>
    </w:p>
    <w:p w14:paraId="5FF9776E" w14:textId="77777777" w:rsidR="0091385B" w:rsidRDefault="00F87590">
      <w:pPr>
        <w:spacing w:after="233" w:line="259" w:lineRule="auto"/>
        <w:ind w:left="-5" w:right="0"/>
        <w:jc w:val="left"/>
      </w:pPr>
      <w:r>
        <w:rPr>
          <w:b/>
        </w:rPr>
        <w:t xml:space="preserve">Das obrigações do Tribunal de Justiça: </w:t>
      </w:r>
    </w:p>
    <w:p w14:paraId="0067AFAD" w14:textId="77777777" w:rsidR="0091385B" w:rsidRDefault="00F87590">
      <w:pPr>
        <w:numPr>
          <w:ilvl w:val="0"/>
          <w:numId w:val="17"/>
        </w:numPr>
        <w:spacing w:after="246" w:line="259" w:lineRule="auto"/>
        <w:ind w:right="0" w:hanging="240"/>
      </w:pPr>
      <w:r>
        <w:t xml:space="preserve">Preparar a infraestrutura necessária para a implantação; </w:t>
      </w:r>
      <w:r>
        <w:rPr>
          <w:b/>
        </w:rPr>
        <w:t xml:space="preserve">(6º Mês) </w:t>
      </w:r>
    </w:p>
    <w:p w14:paraId="24CB24DD" w14:textId="77777777" w:rsidR="0091385B" w:rsidRDefault="00F87590">
      <w:pPr>
        <w:numPr>
          <w:ilvl w:val="0"/>
          <w:numId w:val="17"/>
        </w:numPr>
        <w:ind w:right="0" w:hanging="240"/>
      </w:pPr>
      <w:r>
        <w:t xml:space="preserve">Definir, em conjunto com o </w:t>
      </w:r>
      <w:r>
        <w:rPr>
          <w:shd w:val="clear" w:color="auto" w:fill="FFFF00"/>
        </w:rPr>
        <w:t>[</w:t>
      </w:r>
      <w:r>
        <w:rPr>
          <w:rFonts w:ascii="Arial" w:eastAsia="Arial" w:hAnsi="Arial" w:cs="Arial"/>
          <w:shd w:val="clear" w:color="auto" w:fill="FFFF00"/>
        </w:rPr>
        <w:t>●</w:t>
      </w:r>
      <w:r>
        <w:rPr>
          <w:shd w:val="clear" w:color="auto" w:fill="FFFF00"/>
        </w:rPr>
        <w:t>]</w:t>
      </w:r>
      <w:r>
        <w:t xml:space="preserve">, data e estratégia de implantação; </w:t>
      </w:r>
      <w:r>
        <w:rPr>
          <w:b/>
        </w:rPr>
        <w:t xml:space="preserve">(6º Mês) c. </w:t>
      </w:r>
      <w:r>
        <w:t xml:space="preserve">Comunicar aos servidores da respectiva Vara o início da integração junto ao </w:t>
      </w:r>
      <w:r>
        <w:rPr>
          <w:shd w:val="clear" w:color="auto" w:fill="FFFF00"/>
        </w:rPr>
        <w:t>[</w:t>
      </w:r>
      <w:r>
        <w:rPr>
          <w:rFonts w:ascii="Arial" w:eastAsia="Arial" w:hAnsi="Arial" w:cs="Arial"/>
          <w:shd w:val="clear" w:color="auto" w:fill="FFFF00"/>
        </w:rPr>
        <w:t>●</w:t>
      </w:r>
      <w:r>
        <w:rPr>
          <w:shd w:val="clear" w:color="auto" w:fill="FFFF00"/>
        </w:rPr>
        <w:t>]</w:t>
      </w:r>
      <w:r>
        <w:t xml:space="preserve">. (6º Mês) </w:t>
      </w:r>
    </w:p>
    <w:p w14:paraId="205201CA" w14:textId="77777777" w:rsidR="0091385B" w:rsidRDefault="00F87590">
      <w:pPr>
        <w:spacing w:after="233" w:line="259" w:lineRule="auto"/>
        <w:ind w:left="-5" w:right="0"/>
        <w:jc w:val="left"/>
      </w:pPr>
      <w:r>
        <w:rPr>
          <w:b/>
        </w:rPr>
        <w:t xml:space="preserve">Das obrigações do </w:t>
      </w:r>
      <w:r>
        <w:rPr>
          <w:shd w:val="clear" w:color="auto" w:fill="FFFF00"/>
        </w:rPr>
        <w:t>[</w:t>
      </w:r>
      <w:r>
        <w:rPr>
          <w:rFonts w:ascii="Arial" w:eastAsia="Arial" w:hAnsi="Arial" w:cs="Arial"/>
          <w:shd w:val="clear" w:color="auto" w:fill="FFFF00"/>
        </w:rPr>
        <w:t>●</w:t>
      </w:r>
      <w:r>
        <w:rPr>
          <w:shd w:val="clear" w:color="auto" w:fill="FFFF00"/>
        </w:rPr>
        <w:t>]</w:t>
      </w:r>
      <w:r>
        <w:rPr>
          <w:b/>
        </w:rPr>
        <w:t xml:space="preserve">: </w:t>
      </w:r>
    </w:p>
    <w:p w14:paraId="051B5989" w14:textId="77777777" w:rsidR="0091385B" w:rsidRDefault="00F87590">
      <w:pPr>
        <w:numPr>
          <w:ilvl w:val="0"/>
          <w:numId w:val="18"/>
        </w:numPr>
        <w:spacing w:after="235" w:line="259" w:lineRule="auto"/>
        <w:ind w:right="0" w:hanging="254"/>
      </w:pPr>
      <w:r>
        <w:t xml:space="preserve">Preparar a infraestrutura necessária para a implantação; (6º Mês) </w:t>
      </w:r>
    </w:p>
    <w:p w14:paraId="05468443" w14:textId="77777777" w:rsidR="0091385B" w:rsidRDefault="00F87590">
      <w:pPr>
        <w:numPr>
          <w:ilvl w:val="0"/>
          <w:numId w:val="18"/>
        </w:numPr>
        <w:spacing w:after="233" w:line="259" w:lineRule="auto"/>
        <w:ind w:right="0" w:hanging="254"/>
      </w:pPr>
      <w:r>
        <w:t>Realizar o treinamento dos servidores; (6º Mês)</w:t>
      </w:r>
      <w:r>
        <w:rPr>
          <w:b/>
        </w:rPr>
        <w:t xml:space="preserve"> </w:t>
      </w:r>
    </w:p>
    <w:p w14:paraId="7D4CA73F" w14:textId="77777777" w:rsidR="0091385B" w:rsidRDefault="00F87590">
      <w:pPr>
        <w:numPr>
          <w:ilvl w:val="0"/>
          <w:numId w:val="18"/>
        </w:numPr>
        <w:spacing w:line="259" w:lineRule="auto"/>
        <w:ind w:right="0" w:hanging="254"/>
      </w:pPr>
      <w:r>
        <w:t xml:space="preserve">Definir, em conjunto com o Tribunal de Justiça, data e estratégia de implantação. (6º </w:t>
      </w:r>
    </w:p>
    <w:p w14:paraId="00B922D6" w14:textId="77777777" w:rsidR="0091385B" w:rsidRDefault="00F87590">
      <w:pPr>
        <w:spacing w:after="232" w:line="259" w:lineRule="auto"/>
        <w:ind w:left="-5" w:right="0"/>
      </w:pPr>
      <w:r>
        <w:t xml:space="preserve">Mês) </w:t>
      </w:r>
    </w:p>
    <w:p w14:paraId="597A2476" w14:textId="77777777" w:rsidR="0091385B" w:rsidRDefault="00F87590">
      <w:pPr>
        <w:spacing w:line="259" w:lineRule="auto"/>
        <w:ind w:left="-5" w:right="0"/>
        <w:jc w:val="left"/>
      </w:pPr>
      <w:r>
        <w:rPr>
          <w:b/>
        </w:rPr>
        <w:t xml:space="preserve">VII – DA FORMA PELA QUAL A EXECUÇÃO FÍSICA DO OBJETO SERÁ </w:t>
      </w:r>
    </w:p>
    <w:p w14:paraId="3DD5AFF7" w14:textId="77777777" w:rsidR="0091385B" w:rsidRDefault="00F87590">
      <w:pPr>
        <w:spacing w:after="233" w:line="259" w:lineRule="auto"/>
        <w:ind w:left="-5" w:right="0"/>
        <w:jc w:val="left"/>
      </w:pPr>
      <w:r>
        <w:rPr>
          <w:b/>
        </w:rPr>
        <w:t xml:space="preserve">ACOMPANHADA PELOS PARTÍCIPES </w:t>
      </w:r>
    </w:p>
    <w:p w14:paraId="49CC67A7" w14:textId="77777777" w:rsidR="0091385B" w:rsidRDefault="00F87590">
      <w:pPr>
        <w:ind w:left="-5" w:right="0"/>
      </w:pPr>
      <w:r>
        <w:t xml:space="preserve">O acompanhamento da execução da integração de sistemas por meio de webservice será realizado de forma contínua, com monitoramento das operações de integração por ambas as partes. As instituições comprometem-se a realizar verificações regulares para garantir a eficiência e a segurança das conexões, e a tomar as medidas necessárias para corrigir eventuais problemas identificados. </w:t>
      </w:r>
    </w:p>
    <w:p w14:paraId="41B1521A" w14:textId="77777777" w:rsidR="0091385B" w:rsidRDefault="00F87590">
      <w:pPr>
        <w:ind w:left="-5" w:right="0"/>
      </w:pPr>
      <w:r>
        <w:t xml:space="preserve">Em caso de necessidade, as instituições envolvidas manterão uma comunicação ágil para garantir a pronta resolução de qualquer questão, visando assegurar a continuidade e o bom funcionamento dos serviços. </w:t>
      </w:r>
    </w:p>
    <w:p w14:paraId="4AA78084" w14:textId="77777777" w:rsidR="0091385B" w:rsidRDefault="00F87590">
      <w:pPr>
        <w:spacing w:after="232" w:line="259" w:lineRule="auto"/>
        <w:ind w:left="-5" w:right="0"/>
        <w:jc w:val="left"/>
      </w:pPr>
      <w:r>
        <w:rPr>
          <w:b/>
        </w:rPr>
        <w:lastRenderedPageBreak/>
        <w:t xml:space="preserve">VIII – DO INÍCIO E FIM DA EXECUÇÃO DO OBJETO </w:t>
      </w:r>
    </w:p>
    <w:p w14:paraId="16FA3653" w14:textId="06005715" w:rsidR="0091385B" w:rsidRDefault="00F87590">
      <w:pPr>
        <w:ind w:left="-5" w:right="0"/>
      </w:pPr>
      <w:r>
        <w:t xml:space="preserve">O início e o fim da execução do objeto são os mesmos previstos no Termo de Cooperação Técnica, Cláusula </w:t>
      </w:r>
      <w:r w:rsidR="3D2FF415">
        <w:t>Quint</w:t>
      </w:r>
      <w:r>
        <w:t xml:space="preserve">a. </w:t>
      </w:r>
    </w:p>
    <w:p w14:paraId="1802D6FC" w14:textId="77777777" w:rsidR="0091385B" w:rsidRDefault="00F87590">
      <w:pPr>
        <w:numPr>
          <w:ilvl w:val="0"/>
          <w:numId w:val="19"/>
        </w:numPr>
        <w:spacing w:line="358" w:lineRule="auto"/>
        <w:ind w:right="0" w:hanging="233"/>
        <w:jc w:val="left"/>
      </w:pPr>
      <w:r>
        <w:rPr>
          <w:b/>
        </w:rPr>
        <w:t xml:space="preserve">– DA APROVAÇÃO DO PLANO DE TRABALHO PELA AUTORIDADE COMPETENTE </w:t>
      </w:r>
    </w:p>
    <w:p w14:paraId="3FFE4A4D" w14:textId="77777777" w:rsidR="0091385B" w:rsidRDefault="00F87590">
      <w:pPr>
        <w:spacing w:after="0"/>
        <w:ind w:left="-5" w:right="0"/>
      </w:pPr>
      <w:r>
        <w:t xml:space="preserve">Os partícipes, no uso de suas atribuições, aprovam o presente Plano de Trabalho, que será regido pelas Lei nº 14.133/2021, Decreto nº 11.531/2023 e Portaria SEGES/MGI nº </w:t>
      </w:r>
    </w:p>
    <w:p w14:paraId="19755420" w14:textId="77777777" w:rsidR="0091385B" w:rsidRDefault="00F87590">
      <w:pPr>
        <w:spacing w:after="235" w:line="259" w:lineRule="auto"/>
        <w:ind w:left="-5" w:right="0"/>
      </w:pPr>
      <w:r>
        <w:t xml:space="preserve">1.605/2024, bem como suas atualizações. </w:t>
      </w:r>
    </w:p>
    <w:p w14:paraId="45291588" w14:textId="77777777" w:rsidR="0091385B" w:rsidRDefault="00F87590">
      <w:pPr>
        <w:numPr>
          <w:ilvl w:val="0"/>
          <w:numId w:val="19"/>
        </w:numPr>
        <w:spacing w:after="232" w:line="259" w:lineRule="auto"/>
        <w:ind w:right="0" w:hanging="233"/>
        <w:jc w:val="left"/>
      </w:pPr>
      <w:r>
        <w:rPr>
          <w:b/>
        </w:rPr>
        <w:t xml:space="preserve">– DA ALTERAÇÃO DO PLANO DE TRABALHO </w:t>
      </w:r>
    </w:p>
    <w:p w14:paraId="542BEE4D" w14:textId="77777777" w:rsidR="0091385B" w:rsidRDefault="00F87590">
      <w:pPr>
        <w:ind w:left="-5" w:right="0"/>
      </w:pPr>
      <w:r>
        <w:t xml:space="preserve">O presente Plano de Trabalho poderá ser alterado mediante celebração de termo de aditamento. </w:t>
      </w:r>
    </w:p>
    <w:sectPr w:rsidR="0091385B">
      <w:headerReference w:type="even" r:id="rId10"/>
      <w:headerReference w:type="default" r:id="rId11"/>
      <w:footerReference w:type="even" r:id="rId12"/>
      <w:footerReference w:type="default" r:id="rId13"/>
      <w:headerReference w:type="first" r:id="rId14"/>
      <w:footerReference w:type="first" r:id="rId15"/>
      <w:pgSz w:w="11906" w:h="16838"/>
      <w:pgMar w:top="3026" w:right="1695" w:bottom="1416" w:left="1702"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95E1" w14:textId="77777777" w:rsidR="00E57260" w:rsidRDefault="00E57260">
      <w:pPr>
        <w:spacing w:after="0" w:line="240" w:lineRule="auto"/>
      </w:pPr>
      <w:r>
        <w:separator/>
      </w:r>
    </w:p>
  </w:endnote>
  <w:endnote w:type="continuationSeparator" w:id="0">
    <w:p w14:paraId="5F00BB15" w14:textId="77777777" w:rsidR="00E57260" w:rsidRDefault="00E57260">
      <w:pPr>
        <w:spacing w:after="0" w:line="240" w:lineRule="auto"/>
      </w:pPr>
      <w:r>
        <w:continuationSeparator/>
      </w:r>
    </w:p>
  </w:endnote>
  <w:endnote w:type="continuationNotice" w:id="1">
    <w:p w14:paraId="76C91EFF" w14:textId="77777777" w:rsidR="00E57260" w:rsidRDefault="00E57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042A" w14:textId="77777777" w:rsidR="0091385B" w:rsidRDefault="00F87590">
    <w:pPr>
      <w:spacing w:after="0" w:line="259" w:lineRule="auto"/>
      <w:ind w:left="0" w:right="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24F7D73" w14:textId="77777777" w:rsidR="0091385B" w:rsidRDefault="00F87590">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94D9" w14:textId="77777777" w:rsidR="0091385B" w:rsidRDefault="00F87590">
    <w:pPr>
      <w:spacing w:after="0" w:line="259" w:lineRule="auto"/>
      <w:ind w:left="0" w:right="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BF22644" w14:textId="77777777" w:rsidR="0091385B" w:rsidRDefault="00F87590">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C8E4" w14:textId="77777777" w:rsidR="0091385B" w:rsidRDefault="00F87590">
    <w:pPr>
      <w:spacing w:after="0" w:line="259" w:lineRule="auto"/>
      <w:ind w:left="0" w:right="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B89B97C" w14:textId="77777777" w:rsidR="0091385B" w:rsidRDefault="00F87590">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DA44" w14:textId="77777777" w:rsidR="00E57260" w:rsidRDefault="00E57260">
      <w:pPr>
        <w:spacing w:after="0" w:line="242" w:lineRule="auto"/>
        <w:ind w:left="0" w:right="5" w:firstLine="0"/>
      </w:pPr>
      <w:r>
        <w:separator/>
      </w:r>
    </w:p>
  </w:footnote>
  <w:footnote w:type="continuationSeparator" w:id="0">
    <w:p w14:paraId="4128F7DC" w14:textId="77777777" w:rsidR="00E57260" w:rsidRDefault="00E57260">
      <w:pPr>
        <w:spacing w:after="0" w:line="242" w:lineRule="auto"/>
        <w:ind w:left="0" w:right="5" w:firstLine="0"/>
      </w:pPr>
      <w:r>
        <w:continuationSeparator/>
      </w:r>
    </w:p>
  </w:footnote>
  <w:footnote w:type="continuationNotice" w:id="1">
    <w:p w14:paraId="76B63964" w14:textId="77777777" w:rsidR="00E57260" w:rsidRDefault="00E572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B723" w14:textId="77777777" w:rsidR="0091385B" w:rsidRDefault="00F87590">
    <w:pPr>
      <w:spacing w:after="118" w:line="259" w:lineRule="auto"/>
      <w:ind w:left="215" w:right="0" w:firstLine="0"/>
      <w:jc w:val="center"/>
    </w:pPr>
    <w:r>
      <w:rPr>
        <w:noProof/>
      </w:rPr>
      <w:drawing>
        <wp:anchor distT="0" distB="0" distL="114300" distR="114300" simplePos="0" relativeHeight="251658240" behindDoc="0" locked="0" layoutInCell="1" allowOverlap="0" wp14:anchorId="043A9966" wp14:editId="571B8FCE">
          <wp:simplePos x="0" y="0"/>
          <wp:positionH relativeFrom="page">
            <wp:posOffset>1217295</wp:posOffset>
          </wp:positionH>
          <wp:positionV relativeFrom="page">
            <wp:posOffset>449580</wp:posOffset>
          </wp:positionV>
          <wp:extent cx="1734312" cy="1173480"/>
          <wp:effectExtent l="0" t="0" r="0" b="0"/>
          <wp:wrapSquare wrapText="bothSides"/>
          <wp:docPr id="31368" name="Picture 31368"/>
          <wp:cNvGraphicFramePr/>
          <a:graphic xmlns:a="http://schemas.openxmlformats.org/drawingml/2006/main">
            <a:graphicData uri="http://schemas.openxmlformats.org/drawingml/2006/picture">
              <pic:pic xmlns:pic="http://schemas.openxmlformats.org/drawingml/2006/picture">
                <pic:nvPicPr>
                  <pic:cNvPr id="31368" name="Picture 31368"/>
                  <pic:cNvPicPr/>
                </pic:nvPicPr>
                <pic:blipFill>
                  <a:blip r:embed="rId1"/>
                  <a:stretch>
                    <a:fillRect/>
                  </a:stretch>
                </pic:blipFill>
                <pic:spPr>
                  <a:xfrm>
                    <a:off x="0" y="0"/>
                    <a:ext cx="1734312" cy="1173480"/>
                  </a:xfrm>
                  <a:prstGeom prst="rect">
                    <a:avLst/>
                  </a:prstGeom>
                </pic:spPr>
              </pic:pic>
            </a:graphicData>
          </a:graphic>
        </wp:anchor>
      </w:drawing>
    </w:r>
    <w:r>
      <w:rPr>
        <w:rFonts w:ascii="Calibri" w:eastAsia="Calibri" w:hAnsi="Calibri" w:cs="Calibri"/>
        <w:b/>
      </w:rPr>
      <w:t xml:space="preserve"> </w:t>
    </w:r>
  </w:p>
  <w:p w14:paraId="3B17A1CA" w14:textId="77777777" w:rsidR="0091385B" w:rsidRDefault="00F87590">
    <w:pPr>
      <w:spacing w:after="161" w:line="259" w:lineRule="auto"/>
      <w:ind w:left="215" w:right="0" w:firstLine="0"/>
      <w:jc w:val="left"/>
    </w:pPr>
    <w:r>
      <w:rPr>
        <w:rFonts w:ascii="Arial" w:eastAsia="Arial" w:hAnsi="Arial" w:cs="Arial"/>
        <w:b/>
        <w:sz w:val="20"/>
      </w:rPr>
      <w:t xml:space="preserve">P O D E R J U D I C I ÁR IO </w:t>
    </w:r>
  </w:p>
  <w:p w14:paraId="14A6A7C4" w14:textId="77777777" w:rsidR="0091385B" w:rsidRDefault="00F87590">
    <w:pPr>
      <w:spacing w:after="182" w:line="259" w:lineRule="auto"/>
      <w:ind w:left="215" w:right="-383" w:firstLine="0"/>
      <w:jc w:val="right"/>
    </w:pPr>
    <w:r>
      <w:rPr>
        <w:rFonts w:ascii="Arial" w:eastAsia="Arial" w:hAnsi="Arial" w:cs="Arial"/>
        <w:b/>
        <w:sz w:val="20"/>
      </w:rPr>
      <w:t xml:space="preserve">TRIBUNAL DE JUSTIÇA DO ESTADO DE SÃO PAULO </w:t>
    </w:r>
  </w:p>
  <w:p w14:paraId="587EB476" w14:textId="77777777" w:rsidR="0091385B" w:rsidRDefault="00F87590">
    <w:pPr>
      <w:spacing w:after="477" w:line="259" w:lineRule="auto"/>
      <w:ind w:left="215" w:right="0" w:firstLine="0"/>
      <w:jc w:val="left"/>
    </w:pPr>
    <w:r>
      <w:rPr>
        <w:rFonts w:ascii="Arial" w:eastAsia="Arial" w:hAnsi="Arial" w:cs="Arial"/>
        <w:sz w:val="22"/>
      </w:rPr>
      <w:t xml:space="preserve">Assessoria Jurídica </w:t>
    </w:r>
  </w:p>
  <w:p w14:paraId="0FDDFDCB" w14:textId="77777777" w:rsidR="0091385B" w:rsidRDefault="00F87590">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570E" w14:textId="77777777" w:rsidR="0091385B" w:rsidRDefault="00F87590">
    <w:pPr>
      <w:spacing w:after="118" w:line="259" w:lineRule="auto"/>
      <w:ind w:left="215" w:right="0" w:firstLine="0"/>
      <w:jc w:val="center"/>
    </w:pPr>
    <w:r>
      <w:rPr>
        <w:noProof/>
      </w:rPr>
      <w:drawing>
        <wp:anchor distT="0" distB="0" distL="114300" distR="114300" simplePos="0" relativeHeight="251658241" behindDoc="0" locked="0" layoutInCell="1" allowOverlap="0" wp14:anchorId="5768C30D" wp14:editId="690FB52B">
          <wp:simplePos x="0" y="0"/>
          <wp:positionH relativeFrom="page">
            <wp:posOffset>1217295</wp:posOffset>
          </wp:positionH>
          <wp:positionV relativeFrom="page">
            <wp:posOffset>449580</wp:posOffset>
          </wp:positionV>
          <wp:extent cx="1734312" cy="1173480"/>
          <wp:effectExtent l="0" t="0" r="0" b="0"/>
          <wp:wrapSquare wrapText="bothSides"/>
          <wp:docPr id="20949677" name="Picture 31368"/>
          <wp:cNvGraphicFramePr/>
          <a:graphic xmlns:a="http://schemas.openxmlformats.org/drawingml/2006/main">
            <a:graphicData uri="http://schemas.openxmlformats.org/drawingml/2006/picture">
              <pic:pic xmlns:pic="http://schemas.openxmlformats.org/drawingml/2006/picture">
                <pic:nvPicPr>
                  <pic:cNvPr id="31368" name="Picture 31368"/>
                  <pic:cNvPicPr/>
                </pic:nvPicPr>
                <pic:blipFill>
                  <a:blip r:embed="rId1"/>
                  <a:stretch>
                    <a:fillRect/>
                  </a:stretch>
                </pic:blipFill>
                <pic:spPr>
                  <a:xfrm>
                    <a:off x="0" y="0"/>
                    <a:ext cx="1734312" cy="1173480"/>
                  </a:xfrm>
                  <a:prstGeom prst="rect">
                    <a:avLst/>
                  </a:prstGeom>
                </pic:spPr>
              </pic:pic>
            </a:graphicData>
          </a:graphic>
        </wp:anchor>
      </w:drawing>
    </w:r>
    <w:r>
      <w:rPr>
        <w:rFonts w:ascii="Calibri" w:eastAsia="Calibri" w:hAnsi="Calibri" w:cs="Calibri"/>
        <w:b/>
      </w:rPr>
      <w:t xml:space="preserve"> </w:t>
    </w:r>
  </w:p>
  <w:p w14:paraId="0B96B15F" w14:textId="77777777" w:rsidR="0091385B" w:rsidRDefault="00F87590">
    <w:pPr>
      <w:spacing w:after="161" w:line="259" w:lineRule="auto"/>
      <w:ind w:left="215" w:right="0" w:firstLine="0"/>
      <w:jc w:val="left"/>
    </w:pPr>
    <w:r>
      <w:rPr>
        <w:rFonts w:ascii="Arial" w:eastAsia="Arial" w:hAnsi="Arial" w:cs="Arial"/>
        <w:b/>
        <w:sz w:val="20"/>
      </w:rPr>
      <w:t xml:space="preserve">P O D E R J U D I C I ÁR IO </w:t>
    </w:r>
  </w:p>
  <w:p w14:paraId="2F1F319A" w14:textId="77777777" w:rsidR="0091385B" w:rsidRDefault="00F87590">
    <w:pPr>
      <w:spacing w:after="182" w:line="259" w:lineRule="auto"/>
      <w:ind w:left="215" w:right="-383" w:firstLine="0"/>
      <w:jc w:val="right"/>
    </w:pPr>
    <w:r>
      <w:rPr>
        <w:rFonts w:ascii="Arial" w:eastAsia="Arial" w:hAnsi="Arial" w:cs="Arial"/>
        <w:b/>
        <w:sz w:val="20"/>
      </w:rPr>
      <w:t xml:space="preserve">TRIBUNAL DE JUSTIÇA DO ESTADO DE SÃO PAULO </w:t>
    </w:r>
  </w:p>
  <w:p w14:paraId="5ABE9B3D" w14:textId="77777777" w:rsidR="0091385B" w:rsidRDefault="00F87590">
    <w:pPr>
      <w:spacing w:after="477" w:line="259" w:lineRule="auto"/>
      <w:ind w:left="215" w:right="0" w:firstLine="0"/>
      <w:jc w:val="left"/>
    </w:pPr>
    <w:r>
      <w:rPr>
        <w:rFonts w:ascii="Arial" w:eastAsia="Arial" w:hAnsi="Arial" w:cs="Arial"/>
        <w:sz w:val="22"/>
      </w:rPr>
      <w:t xml:space="preserve">Assessoria Jurídica </w:t>
    </w:r>
  </w:p>
  <w:p w14:paraId="5D565923" w14:textId="77777777" w:rsidR="0091385B" w:rsidRDefault="00F87590">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9CAD" w14:textId="77777777" w:rsidR="0091385B" w:rsidRDefault="00F87590">
    <w:pPr>
      <w:spacing w:after="118" w:line="259" w:lineRule="auto"/>
      <w:ind w:left="215" w:right="0" w:firstLine="0"/>
      <w:jc w:val="center"/>
    </w:pPr>
    <w:r>
      <w:rPr>
        <w:noProof/>
      </w:rPr>
      <w:drawing>
        <wp:anchor distT="0" distB="0" distL="114300" distR="114300" simplePos="0" relativeHeight="251658242" behindDoc="0" locked="0" layoutInCell="1" allowOverlap="0" wp14:anchorId="1AA61E98" wp14:editId="71F07D3D">
          <wp:simplePos x="0" y="0"/>
          <wp:positionH relativeFrom="page">
            <wp:posOffset>1217295</wp:posOffset>
          </wp:positionH>
          <wp:positionV relativeFrom="page">
            <wp:posOffset>449580</wp:posOffset>
          </wp:positionV>
          <wp:extent cx="1734312" cy="1173480"/>
          <wp:effectExtent l="0" t="0" r="0" b="0"/>
          <wp:wrapSquare wrapText="bothSides"/>
          <wp:docPr id="1261986593" name="Picture 31368"/>
          <wp:cNvGraphicFramePr/>
          <a:graphic xmlns:a="http://schemas.openxmlformats.org/drawingml/2006/main">
            <a:graphicData uri="http://schemas.openxmlformats.org/drawingml/2006/picture">
              <pic:pic xmlns:pic="http://schemas.openxmlformats.org/drawingml/2006/picture">
                <pic:nvPicPr>
                  <pic:cNvPr id="31368" name="Picture 31368"/>
                  <pic:cNvPicPr/>
                </pic:nvPicPr>
                <pic:blipFill>
                  <a:blip r:embed="rId1"/>
                  <a:stretch>
                    <a:fillRect/>
                  </a:stretch>
                </pic:blipFill>
                <pic:spPr>
                  <a:xfrm>
                    <a:off x="0" y="0"/>
                    <a:ext cx="1734312" cy="1173480"/>
                  </a:xfrm>
                  <a:prstGeom prst="rect">
                    <a:avLst/>
                  </a:prstGeom>
                </pic:spPr>
              </pic:pic>
            </a:graphicData>
          </a:graphic>
        </wp:anchor>
      </w:drawing>
    </w:r>
    <w:r>
      <w:rPr>
        <w:rFonts w:ascii="Calibri" w:eastAsia="Calibri" w:hAnsi="Calibri" w:cs="Calibri"/>
        <w:b/>
      </w:rPr>
      <w:t xml:space="preserve"> </w:t>
    </w:r>
  </w:p>
  <w:p w14:paraId="3F1152B1" w14:textId="77777777" w:rsidR="0091385B" w:rsidRDefault="00F87590">
    <w:pPr>
      <w:spacing w:after="161" w:line="259" w:lineRule="auto"/>
      <w:ind w:left="215" w:right="0" w:firstLine="0"/>
      <w:jc w:val="left"/>
    </w:pPr>
    <w:r>
      <w:rPr>
        <w:rFonts w:ascii="Arial" w:eastAsia="Arial" w:hAnsi="Arial" w:cs="Arial"/>
        <w:b/>
        <w:sz w:val="20"/>
      </w:rPr>
      <w:t xml:space="preserve">P O D E R J U D I C I ÁR IO </w:t>
    </w:r>
  </w:p>
  <w:p w14:paraId="169E32D6" w14:textId="77777777" w:rsidR="0091385B" w:rsidRDefault="00F87590">
    <w:pPr>
      <w:spacing w:after="182" w:line="259" w:lineRule="auto"/>
      <w:ind w:left="215" w:right="-383" w:firstLine="0"/>
      <w:jc w:val="right"/>
    </w:pPr>
    <w:r>
      <w:rPr>
        <w:rFonts w:ascii="Arial" w:eastAsia="Arial" w:hAnsi="Arial" w:cs="Arial"/>
        <w:b/>
        <w:sz w:val="20"/>
      </w:rPr>
      <w:t xml:space="preserve">TRIBUNAL DE JUSTIÇA DO ESTADO DE SÃO PAULO </w:t>
    </w:r>
  </w:p>
  <w:p w14:paraId="4E10E9BF" w14:textId="77777777" w:rsidR="0091385B" w:rsidRDefault="00F87590">
    <w:pPr>
      <w:spacing w:after="477" w:line="259" w:lineRule="auto"/>
      <w:ind w:left="215" w:right="0" w:firstLine="0"/>
      <w:jc w:val="left"/>
    </w:pPr>
    <w:r>
      <w:rPr>
        <w:rFonts w:ascii="Arial" w:eastAsia="Arial" w:hAnsi="Arial" w:cs="Arial"/>
        <w:sz w:val="22"/>
      </w:rPr>
      <w:t xml:space="preserve">Assessoria Jurídica </w:t>
    </w:r>
  </w:p>
  <w:p w14:paraId="79E43274" w14:textId="77777777" w:rsidR="0091385B" w:rsidRDefault="00F87590">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7C9"/>
    <w:multiLevelType w:val="hybridMultilevel"/>
    <w:tmpl w:val="D4B23194"/>
    <w:lvl w:ilvl="0" w:tplc="53C07EAC">
      <w:start w:val="1"/>
      <w:numFmt w:val="lowerLetter"/>
      <w:lvlText w:val="(%1)"/>
      <w:lvlJc w:val="left"/>
      <w:pPr>
        <w:ind w:left="2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380F3A">
      <w:start w:val="1"/>
      <w:numFmt w:val="lowerLetter"/>
      <w:lvlText w:val="%2"/>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901466">
      <w:start w:val="1"/>
      <w:numFmt w:val="lowerRoman"/>
      <w:lvlText w:val="%3"/>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1E5854">
      <w:start w:val="1"/>
      <w:numFmt w:val="decimal"/>
      <w:lvlText w:val="%4"/>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1A7DB4">
      <w:start w:val="1"/>
      <w:numFmt w:val="lowerLetter"/>
      <w:lvlText w:val="%5"/>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98B672">
      <w:start w:val="1"/>
      <w:numFmt w:val="lowerRoman"/>
      <w:lvlText w:val="%6"/>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4CE272">
      <w:start w:val="1"/>
      <w:numFmt w:val="decimal"/>
      <w:lvlText w:val="%7"/>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F66672">
      <w:start w:val="1"/>
      <w:numFmt w:val="lowerLetter"/>
      <w:lvlText w:val="%8"/>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567ED0">
      <w:start w:val="1"/>
      <w:numFmt w:val="lowerRoman"/>
      <w:lvlText w:val="%9"/>
      <w:lvlJc w:val="left"/>
      <w:pPr>
        <w:ind w:left="7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54FDE"/>
    <w:multiLevelType w:val="hybridMultilevel"/>
    <w:tmpl w:val="813C3D82"/>
    <w:lvl w:ilvl="0" w:tplc="F9BAFBAE">
      <w:start w:val="7"/>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0BA4F11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196A435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AD6EFE7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1108E3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8BD84C7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58FACF8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E902B4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C054097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 w15:restartNumberingAfterBreak="0">
    <w:nsid w:val="16600ED1"/>
    <w:multiLevelType w:val="hybridMultilevel"/>
    <w:tmpl w:val="2B9EB0B2"/>
    <w:lvl w:ilvl="0" w:tplc="19BEFA44">
      <w:start w:val="4"/>
      <w:numFmt w:val="lowerLetter"/>
      <w:lvlText w:val="%1)"/>
      <w:lvlJc w:val="left"/>
      <w:pPr>
        <w:ind w:left="2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E85CE2">
      <w:start w:val="1"/>
      <w:numFmt w:val="lowerLetter"/>
      <w:lvlText w:val="%2"/>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D68350">
      <w:start w:val="1"/>
      <w:numFmt w:val="lowerRoman"/>
      <w:lvlText w:val="%3"/>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D6C86C">
      <w:start w:val="1"/>
      <w:numFmt w:val="decimal"/>
      <w:lvlText w:val="%4"/>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CCAC74">
      <w:start w:val="1"/>
      <w:numFmt w:val="lowerLetter"/>
      <w:lvlText w:val="%5"/>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04B3A8">
      <w:start w:val="1"/>
      <w:numFmt w:val="lowerRoman"/>
      <w:lvlText w:val="%6"/>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DC5FDC">
      <w:start w:val="1"/>
      <w:numFmt w:val="decimal"/>
      <w:lvlText w:val="%7"/>
      <w:lvlJc w:val="left"/>
      <w:pPr>
        <w:ind w:left="6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F0BB8C">
      <w:start w:val="1"/>
      <w:numFmt w:val="lowerLetter"/>
      <w:lvlText w:val="%8"/>
      <w:lvlJc w:val="left"/>
      <w:pPr>
        <w:ind w:left="7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D428E2">
      <w:start w:val="1"/>
      <w:numFmt w:val="lowerRoman"/>
      <w:lvlText w:val="%9"/>
      <w:lvlJc w:val="left"/>
      <w:pPr>
        <w:ind w:left="8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6B3AB9"/>
    <w:multiLevelType w:val="hybridMultilevel"/>
    <w:tmpl w:val="2D28C6F6"/>
    <w:lvl w:ilvl="0" w:tplc="7EFAE110">
      <w:start w:val="1"/>
      <w:numFmt w:val="decimal"/>
      <w:lvlText w:val="%1."/>
      <w:lvlJc w:val="left"/>
      <w:pPr>
        <w:ind w:left="2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22D808">
      <w:start w:val="1"/>
      <w:numFmt w:val="lowerLetter"/>
      <w:lvlText w:val="%2"/>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442900">
      <w:start w:val="1"/>
      <w:numFmt w:val="lowerRoman"/>
      <w:lvlText w:val="%3"/>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022FE0">
      <w:start w:val="1"/>
      <w:numFmt w:val="decimal"/>
      <w:lvlText w:val="%4"/>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908F14">
      <w:start w:val="1"/>
      <w:numFmt w:val="lowerLetter"/>
      <w:lvlText w:val="%5"/>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D06E00">
      <w:start w:val="1"/>
      <w:numFmt w:val="lowerRoman"/>
      <w:lvlText w:val="%6"/>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A07EC6">
      <w:start w:val="1"/>
      <w:numFmt w:val="decimal"/>
      <w:lvlText w:val="%7"/>
      <w:lvlJc w:val="left"/>
      <w:pPr>
        <w:ind w:left="6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2A8AD0">
      <w:start w:val="1"/>
      <w:numFmt w:val="lowerLetter"/>
      <w:lvlText w:val="%8"/>
      <w:lvlJc w:val="left"/>
      <w:pPr>
        <w:ind w:left="7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06BDE8">
      <w:start w:val="1"/>
      <w:numFmt w:val="lowerRoman"/>
      <w:lvlText w:val="%9"/>
      <w:lvlJc w:val="left"/>
      <w:pPr>
        <w:ind w:left="8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6D1FC1"/>
    <w:multiLevelType w:val="hybridMultilevel"/>
    <w:tmpl w:val="B7164C44"/>
    <w:lvl w:ilvl="0" w:tplc="33082322">
      <w:start w:val="21"/>
      <w:numFmt w:val="decimal"/>
      <w:lvlText w:val="%1."/>
      <w:lvlJc w:val="left"/>
      <w:pPr>
        <w:ind w:left="2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3A82542">
      <w:start w:val="1"/>
      <w:numFmt w:val="lowerLetter"/>
      <w:lvlText w:val="%2"/>
      <w:lvlJc w:val="left"/>
      <w:pPr>
        <w:ind w:left="221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13EC166">
      <w:start w:val="1"/>
      <w:numFmt w:val="lowerRoman"/>
      <w:lvlText w:val="%3"/>
      <w:lvlJc w:val="left"/>
      <w:pPr>
        <w:ind w:left="293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42AFA52">
      <w:start w:val="1"/>
      <w:numFmt w:val="decimal"/>
      <w:lvlText w:val="%4"/>
      <w:lvlJc w:val="left"/>
      <w:pPr>
        <w:ind w:left="36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AAC2F3C">
      <w:start w:val="1"/>
      <w:numFmt w:val="lowerLetter"/>
      <w:lvlText w:val="%5"/>
      <w:lvlJc w:val="left"/>
      <w:pPr>
        <w:ind w:left="437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326202E">
      <w:start w:val="1"/>
      <w:numFmt w:val="lowerRoman"/>
      <w:lvlText w:val="%6"/>
      <w:lvlJc w:val="left"/>
      <w:pPr>
        <w:ind w:left="509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690D9E2">
      <w:start w:val="1"/>
      <w:numFmt w:val="decimal"/>
      <w:lvlText w:val="%7"/>
      <w:lvlJc w:val="left"/>
      <w:pPr>
        <w:ind w:left="581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C640446">
      <w:start w:val="1"/>
      <w:numFmt w:val="lowerLetter"/>
      <w:lvlText w:val="%8"/>
      <w:lvlJc w:val="left"/>
      <w:pPr>
        <w:ind w:left="653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A7E58C6">
      <w:start w:val="1"/>
      <w:numFmt w:val="lowerRoman"/>
      <w:lvlText w:val="%9"/>
      <w:lvlJc w:val="left"/>
      <w:pPr>
        <w:ind w:left="72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7215B8"/>
    <w:multiLevelType w:val="hybridMultilevel"/>
    <w:tmpl w:val="E59E63DC"/>
    <w:lvl w:ilvl="0" w:tplc="570496E6">
      <w:start w:val="1"/>
      <w:numFmt w:val="upperRoman"/>
      <w:lvlText w:val="%1"/>
      <w:lvlJc w:val="left"/>
      <w:pPr>
        <w:ind w:left="1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585B78">
      <w:start w:val="1"/>
      <w:numFmt w:val="lowerLetter"/>
      <w:lvlText w:val="%2"/>
      <w:lvlJc w:val="left"/>
      <w:pPr>
        <w:ind w:left="3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7AF332">
      <w:start w:val="1"/>
      <w:numFmt w:val="lowerRoman"/>
      <w:lvlText w:val="%3"/>
      <w:lvlJc w:val="left"/>
      <w:pPr>
        <w:ind w:left="4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64294A">
      <w:start w:val="1"/>
      <w:numFmt w:val="decimal"/>
      <w:lvlText w:val="%4"/>
      <w:lvlJc w:val="left"/>
      <w:pPr>
        <w:ind w:left="4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FE18A8">
      <w:start w:val="1"/>
      <w:numFmt w:val="lowerLetter"/>
      <w:lvlText w:val="%5"/>
      <w:lvlJc w:val="left"/>
      <w:pPr>
        <w:ind w:left="5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382132">
      <w:start w:val="1"/>
      <w:numFmt w:val="lowerRoman"/>
      <w:lvlText w:val="%6"/>
      <w:lvlJc w:val="left"/>
      <w:pPr>
        <w:ind w:left="6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9016CE">
      <w:start w:val="1"/>
      <w:numFmt w:val="decimal"/>
      <w:lvlText w:val="%7"/>
      <w:lvlJc w:val="left"/>
      <w:pPr>
        <w:ind w:left="6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8A8304">
      <w:start w:val="1"/>
      <w:numFmt w:val="lowerLetter"/>
      <w:lvlText w:val="%8"/>
      <w:lvlJc w:val="left"/>
      <w:pPr>
        <w:ind w:left="7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C61728">
      <w:start w:val="1"/>
      <w:numFmt w:val="lowerRoman"/>
      <w:lvlText w:val="%9"/>
      <w:lvlJc w:val="left"/>
      <w:pPr>
        <w:ind w:left="8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6A234CA"/>
    <w:multiLevelType w:val="hybridMultilevel"/>
    <w:tmpl w:val="B17A0106"/>
    <w:lvl w:ilvl="0" w:tplc="A41C76AC">
      <w:start w:val="1"/>
      <w:numFmt w:val="lowerLetter"/>
      <w:lvlText w:val="(%1)"/>
      <w:lvlJc w:val="left"/>
      <w:pPr>
        <w:ind w:left="22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F06DCC">
      <w:start w:val="1"/>
      <w:numFmt w:val="lowerLetter"/>
      <w:lvlText w:val="%2"/>
      <w:lvlJc w:val="left"/>
      <w:pPr>
        <w:ind w:left="3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B495C6">
      <w:start w:val="1"/>
      <w:numFmt w:val="lowerRoman"/>
      <w:lvlText w:val="%3"/>
      <w:lvlJc w:val="left"/>
      <w:pPr>
        <w:ind w:left="4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6EEDEA">
      <w:start w:val="1"/>
      <w:numFmt w:val="decimal"/>
      <w:lvlText w:val="%4"/>
      <w:lvlJc w:val="left"/>
      <w:pPr>
        <w:ind w:left="4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40A312">
      <w:start w:val="1"/>
      <w:numFmt w:val="lowerLetter"/>
      <w:lvlText w:val="%5"/>
      <w:lvlJc w:val="left"/>
      <w:pPr>
        <w:ind w:left="5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3AC394">
      <w:start w:val="1"/>
      <w:numFmt w:val="lowerRoman"/>
      <w:lvlText w:val="%6"/>
      <w:lvlJc w:val="left"/>
      <w:pPr>
        <w:ind w:left="6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0A9F36">
      <w:start w:val="1"/>
      <w:numFmt w:val="decimal"/>
      <w:lvlText w:val="%7"/>
      <w:lvlJc w:val="left"/>
      <w:pPr>
        <w:ind w:left="69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C6342A">
      <w:start w:val="1"/>
      <w:numFmt w:val="lowerLetter"/>
      <w:lvlText w:val="%8"/>
      <w:lvlJc w:val="left"/>
      <w:pPr>
        <w:ind w:left="76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C62F8A">
      <w:start w:val="1"/>
      <w:numFmt w:val="lowerRoman"/>
      <w:lvlText w:val="%9"/>
      <w:lvlJc w:val="left"/>
      <w:pPr>
        <w:ind w:left="8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CF2B23"/>
    <w:multiLevelType w:val="hybridMultilevel"/>
    <w:tmpl w:val="3700813A"/>
    <w:lvl w:ilvl="0" w:tplc="24D66F6E">
      <w:start w:val="1"/>
      <w:numFmt w:val="upperRoman"/>
      <w:lvlText w:val="%1"/>
      <w:lvlJc w:val="left"/>
      <w:pPr>
        <w:ind w:left="2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C0C22A">
      <w:start w:val="1"/>
      <w:numFmt w:val="lowerLetter"/>
      <w:lvlText w:val="%2"/>
      <w:lvlJc w:val="left"/>
      <w:pPr>
        <w:ind w:left="3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DE4C7C">
      <w:start w:val="1"/>
      <w:numFmt w:val="lowerRoman"/>
      <w:lvlText w:val="%3"/>
      <w:lvlJc w:val="left"/>
      <w:pPr>
        <w:ind w:left="4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D4512A">
      <w:start w:val="1"/>
      <w:numFmt w:val="decimal"/>
      <w:lvlText w:val="%4"/>
      <w:lvlJc w:val="left"/>
      <w:pPr>
        <w:ind w:left="4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288A40">
      <w:start w:val="1"/>
      <w:numFmt w:val="lowerLetter"/>
      <w:lvlText w:val="%5"/>
      <w:lvlJc w:val="left"/>
      <w:pPr>
        <w:ind w:left="5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189D38">
      <w:start w:val="1"/>
      <w:numFmt w:val="lowerRoman"/>
      <w:lvlText w:val="%6"/>
      <w:lvlJc w:val="left"/>
      <w:pPr>
        <w:ind w:left="6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E826D0">
      <w:start w:val="1"/>
      <w:numFmt w:val="decimal"/>
      <w:lvlText w:val="%7"/>
      <w:lvlJc w:val="left"/>
      <w:pPr>
        <w:ind w:left="6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9A94C2">
      <w:start w:val="1"/>
      <w:numFmt w:val="lowerLetter"/>
      <w:lvlText w:val="%8"/>
      <w:lvlJc w:val="left"/>
      <w:pPr>
        <w:ind w:left="7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E042D8">
      <w:start w:val="1"/>
      <w:numFmt w:val="lowerRoman"/>
      <w:lvlText w:val="%9"/>
      <w:lvlJc w:val="left"/>
      <w:pPr>
        <w:ind w:left="8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E3D6FFF"/>
    <w:multiLevelType w:val="hybridMultilevel"/>
    <w:tmpl w:val="921CA4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5A3DEE"/>
    <w:multiLevelType w:val="hybridMultilevel"/>
    <w:tmpl w:val="372CE4A8"/>
    <w:lvl w:ilvl="0" w:tplc="B276CC6A">
      <w:start w:val="1"/>
      <w:numFmt w:val="lowerLetter"/>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E236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D8B4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D65B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04B7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B85B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141B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501B6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6E54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AA4889"/>
    <w:multiLevelType w:val="hybridMultilevel"/>
    <w:tmpl w:val="F118E63C"/>
    <w:lvl w:ilvl="0" w:tplc="2B3A9C02">
      <w:start w:val="1"/>
      <w:numFmt w:val="lowerLetter"/>
      <w:lvlText w:val="%1."/>
      <w:lvlJc w:val="left"/>
      <w:pPr>
        <w:ind w:left="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F499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E226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E8C1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9E21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CC70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54BB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D82B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0CEC3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A253C6"/>
    <w:multiLevelType w:val="hybridMultilevel"/>
    <w:tmpl w:val="12DE15AA"/>
    <w:lvl w:ilvl="0" w:tplc="85940346">
      <w:start w:val="4"/>
      <w:numFmt w:val="upperRoman"/>
      <w:lvlText w:val="%1"/>
      <w:lvlJc w:val="left"/>
      <w:pPr>
        <w:ind w:left="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0C28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B6FE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A48B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A4DA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6EF6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A8DD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20C7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42B9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E140A5"/>
    <w:multiLevelType w:val="hybridMultilevel"/>
    <w:tmpl w:val="574C71B0"/>
    <w:lvl w:ilvl="0" w:tplc="F6E8AB70">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7088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7A25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1257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223C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4CCF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5E9C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A4D2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9834D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B77DA7"/>
    <w:multiLevelType w:val="hybridMultilevel"/>
    <w:tmpl w:val="9DF8D454"/>
    <w:lvl w:ilvl="0" w:tplc="2D5CA19C">
      <w:start w:val="9"/>
      <w:numFmt w:val="upperRoman"/>
      <w:lvlText w:val="%1"/>
      <w:lvlJc w:val="left"/>
      <w:pPr>
        <w:ind w:left="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C0A4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1000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E622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C44E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FCCA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B606E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B614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D48D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B92722"/>
    <w:multiLevelType w:val="hybridMultilevel"/>
    <w:tmpl w:val="E006F502"/>
    <w:lvl w:ilvl="0" w:tplc="D8FCE608">
      <w:start w:val="1"/>
      <w:numFmt w:val="lowerLetter"/>
      <w:lvlText w:val="(%1)"/>
      <w:lvlJc w:val="left"/>
      <w:pPr>
        <w:ind w:left="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E5B9E">
      <w:start w:val="1"/>
      <w:numFmt w:val="lowerLetter"/>
      <w:lvlText w:val="%2"/>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B66068">
      <w:start w:val="1"/>
      <w:numFmt w:val="lowerRoman"/>
      <w:lvlText w:val="%3"/>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CEDFCA">
      <w:start w:val="1"/>
      <w:numFmt w:val="decimal"/>
      <w:lvlText w:val="%4"/>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49C18">
      <w:start w:val="1"/>
      <w:numFmt w:val="lowerLetter"/>
      <w:lvlText w:val="%5"/>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0F46E">
      <w:start w:val="1"/>
      <w:numFmt w:val="lowerRoman"/>
      <w:lvlText w:val="%6"/>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0EAE4">
      <w:start w:val="1"/>
      <w:numFmt w:val="decimal"/>
      <w:lvlText w:val="%7"/>
      <w:lvlJc w:val="left"/>
      <w:pPr>
        <w:ind w:left="6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01BD4">
      <w:start w:val="1"/>
      <w:numFmt w:val="lowerLetter"/>
      <w:lvlText w:val="%8"/>
      <w:lvlJc w:val="left"/>
      <w:pPr>
        <w:ind w:left="7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146924">
      <w:start w:val="1"/>
      <w:numFmt w:val="lowerRoman"/>
      <w:lvlText w:val="%9"/>
      <w:lvlJc w:val="left"/>
      <w:pPr>
        <w:ind w:left="8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646495"/>
    <w:multiLevelType w:val="hybridMultilevel"/>
    <w:tmpl w:val="C4EAE1D0"/>
    <w:lvl w:ilvl="0" w:tplc="6BFC3D74">
      <w:start w:val="1"/>
      <w:numFmt w:val="lowerLetter"/>
      <w:lvlText w:val="%1)"/>
      <w:lvlJc w:val="left"/>
      <w:pPr>
        <w:ind w:left="1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9E1C4A">
      <w:start w:val="1"/>
      <w:numFmt w:val="lowerLetter"/>
      <w:lvlText w:val="%2"/>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2CEAD6">
      <w:start w:val="1"/>
      <w:numFmt w:val="lowerRoman"/>
      <w:lvlText w:val="%3"/>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3ACCC2">
      <w:start w:val="1"/>
      <w:numFmt w:val="decimal"/>
      <w:lvlText w:val="%4"/>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AE11E0">
      <w:start w:val="1"/>
      <w:numFmt w:val="lowerLetter"/>
      <w:lvlText w:val="%5"/>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DCD1F4">
      <w:start w:val="1"/>
      <w:numFmt w:val="lowerRoman"/>
      <w:lvlText w:val="%6"/>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CC6894">
      <w:start w:val="1"/>
      <w:numFmt w:val="decimal"/>
      <w:lvlText w:val="%7"/>
      <w:lvlJc w:val="left"/>
      <w:pPr>
        <w:ind w:left="6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5A79D6">
      <w:start w:val="1"/>
      <w:numFmt w:val="lowerLetter"/>
      <w:lvlText w:val="%8"/>
      <w:lvlJc w:val="left"/>
      <w:pPr>
        <w:ind w:left="7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E2EDDA">
      <w:start w:val="1"/>
      <w:numFmt w:val="lowerRoman"/>
      <w:lvlText w:val="%9"/>
      <w:lvlJc w:val="left"/>
      <w:pPr>
        <w:ind w:left="8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91A0258"/>
    <w:multiLevelType w:val="hybridMultilevel"/>
    <w:tmpl w:val="4826617C"/>
    <w:lvl w:ilvl="0" w:tplc="40EAA0A0">
      <w:start w:val="1"/>
      <w:numFmt w:val="upperRoman"/>
      <w:lvlText w:val="%1"/>
      <w:lvlJc w:val="left"/>
      <w:pPr>
        <w:ind w:left="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A037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B80B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B8AC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FC5E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A075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B8D5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DE09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9A19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F403EB"/>
    <w:multiLevelType w:val="hybridMultilevel"/>
    <w:tmpl w:val="E584A1F4"/>
    <w:lvl w:ilvl="0" w:tplc="A5808B5E">
      <w:start w:val="1"/>
      <w:numFmt w:val="lowerLetter"/>
      <w:lvlText w:val="%1."/>
      <w:lvlJc w:val="left"/>
      <w:pPr>
        <w:ind w:left="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CE37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5E7B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E226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62155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02A77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8469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6AA94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6AC9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446FB0"/>
    <w:multiLevelType w:val="hybridMultilevel"/>
    <w:tmpl w:val="184EE6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DB46564"/>
    <w:multiLevelType w:val="hybridMultilevel"/>
    <w:tmpl w:val="D72C3D56"/>
    <w:lvl w:ilvl="0" w:tplc="5B08A22A">
      <w:start w:val="1"/>
      <w:numFmt w:val="upperRoman"/>
      <w:lvlText w:val="%1"/>
      <w:lvlJc w:val="left"/>
      <w:pPr>
        <w:ind w:left="22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98C09AA">
      <w:start w:val="1"/>
      <w:numFmt w:val="lowerLetter"/>
      <w:lvlText w:val="%2"/>
      <w:lvlJc w:val="left"/>
      <w:pPr>
        <w:ind w:left="33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B224E42">
      <w:start w:val="1"/>
      <w:numFmt w:val="lowerRoman"/>
      <w:lvlText w:val="%3"/>
      <w:lvlJc w:val="left"/>
      <w:pPr>
        <w:ind w:left="40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2587FA4">
      <w:start w:val="1"/>
      <w:numFmt w:val="decimal"/>
      <w:lvlText w:val="%4"/>
      <w:lvlJc w:val="left"/>
      <w:pPr>
        <w:ind w:left="47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662A1AC">
      <w:start w:val="1"/>
      <w:numFmt w:val="lowerLetter"/>
      <w:lvlText w:val="%5"/>
      <w:lvlJc w:val="left"/>
      <w:pPr>
        <w:ind w:left="55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4E4A0C8">
      <w:start w:val="1"/>
      <w:numFmt w:val="lowerRoman"/>
      <w:lvlText w:val="%6"/>
      <w:lvlJc w:val="left"/>
      <w:pPr>
        <w:ind w:left="62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31CFC22">
      <w:start w:val="1"/>
      <w:numFmt w:val="decimal"/>
      <w:lvlText w:val="%7"/>
      <w:lvlJc w:val="left"/>
      <w:pPr>
        <w:ind w:left="69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9F452E4">
      <w:start w:val="1"/>
      <w:numFmt w:val="lowerLetter"/>
      <w:lvlText w:val="%8"/>
      <w:lvlJc w:val="left"/>
      <w:pPr>
        <w:ind w:left="76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4A2E520">
      <w:start w:val="1"/>
      <w:numFmt w:val="lowerRoman"/>
      <w:lvlText w:val="%9"/>
      <w:lvlJc w:val="left"/>
      <w:pPr>
        <w:ind w:left="83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3B666F3"/>
    <w:multiLevelType w:val="hybridMultilevel"/>
    <w:tmpl w:val="7722CB1E"/>
    <w:lvl w:ilvl="0" w:tplc="E0000E5E">
      <w:start w:val="1"/>
      <w:numFmt w:val="lowerLetter"/>
      <w:lvlText w:val="%1."/>
      <w:lvlJc w:val="left"/>
      <w:pPr>
        <w:ind w:left="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48E7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4A1A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5025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02B1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2E5CC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BEDB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AE74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16C68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108740043">
    <w:abstractNumId w:val="7"/>
  </w:num>
  <w:num w:numId="2" w16cid:durableId="1344743611">
    <w:abstractNumId w:val="5"/>
  </w:num>
  <w:num w:numId="3" w16cid:durableId="1253196511">
    <w:abstractNumId w:val="6"/>
  </w:num>
  <w:num w:numId="4" w16cid:durableId="237328290">
    <w:abstractNumId w:val="14"/>
  </w:num>
  <w:num w:numId="5" w16cid:durableId="1953634263">
    <w:abstractNumId w:val="1"/>
  </w:num>
  <w:num w:numId="6" w16cid:durableId="1516529124">
    <w:abstractNumId w:val="15"/>
  </w:num>
  <w:num w:numId="7" w16cid:durableId="1788308281">
    <w:abstractNumId w:val="2"/>
  </w:num>
  <w:num w:numId="8" w16cid:durableId="136655650">
    <w:abstractNumId w:val="19"/>
  </w:num>
  <w:num w:numId="9" w16cid:durableId="951084806">
    <w:abstractNumId w:val="3"/>
  </w:num>
  <w:num w:numId="10" w16cid:durableId="291599390">
    <w:abstractNumId w:val="4"/>
  </w:num>
  <w:num w:numId="11" w16cid:durableId="46884302">
    <w:abstractNumId w:val="0"/>
  </w:num>
  <w:num w:numId="12" w16cid:durableId="141655216">
    <w:abstractNumId w:val="16"/>
  </w:num>
  <w:num w:numId="13" w16cid:durableId="444883775">
    <w:abstractNumId w:val="11"/>
  </w:num>
  <w:num w:numId="14" w16cid:durableId="218909155">
    <w:abstractNumId w:val="17"/>
  </w:num>
  <w:num w:numId="15" w16cid:durableId="704328675">
    <w:abstractNumId w:val="10"/>
  </w:num>
  <w:num w:numId="16" w16cid:durableId="2080906076">
    <w:abstractNumId w:val="20"/>
  </w:num>
  <w:num w:numId="17" w16cid:durableId="1782719285">
    <w:abstractNumId w:val="9"/>
  </w:num>
  <w:num w:numId="18" w16cid:durableId="830364728">
    <w:abstractNumId w:val="12"/>
  </w:num>
  <w:num w:numId="19" w16cid:durableId="1873152264">
    <w:abstractNumId w:val="13"/>
  </w:num>
  <w:num w:numId="20" w16cid:durableId="1236285845">
    <w:abstractNumId w:val="8"/>
  </w:num>
  <w:num w:numId="21" w16cid:durableId="14513220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85B"/>
    <w:rsid w:val="000C3176"/>
    <w:rsid w:val="000C6A86"/>
    <w:rsid w:val="004A71AF"/>
    <w:rsid w:val="0055540D"/>
    <w:rsid w:val="006327F3"/>
    <w:rsid w:val="006668C4"/>
    <w:rsid w:val="00721113"/>
    <w:rsid w:val="00730619"/>
    <w:rsid w:val="007D22C6"/>
    <w:rsid w:val="00806009"/>
    <w:rsid w:val="00882BCE"/>
    <w:rsid w:val="008A25D4"/>
    <w:rsid w:val="0091385B"/>
    <w:rsid w:val="00962ADC"/>
    <w:rsid w:val="00A359FD"/>
    <w:rsid w:val="00BA4815"/>
    <w:rsid w:val="00BF16E6"/>
    <w:rsid w:val="00BF443C"/>
    <w:rsid w:val="00DA4B5A"/>
    <w:rsid w:val="00DB21F2"/>
    <w:rsid w:val="00E047F1"/>
    <w:rsid w:val="00E57260"/>
    <w:rsid w:val="00F57AD7"/>
    <w:rsid w:val="00F61A42"/>
    <w:rsid w:val="00F87590"/>
    <w:rsid w:val="01F83307"/>
    <w:rsid w:val="044BBE6B"/>
    <w:rsid w:val="069FB842"/>
    <w:rsid w:val="1175FAB9"/>
    <w:rsid w:val="12236766"/>
    <w:rsid w:val="13990DFF"/>
    <w:rsid w:val="13ADCDAF"/>
    <w:rsid w:val="1ABAB196"/>
    <w:rsid w:val="2273CEE5"/>
    <w:rsid w:val="23CDD9DA"/>
    <w:rsid w:val="24D5BB30"/>
    <w:rsid w:val="26E5808C"/>
    <w:rsid w:val="2711D097"/>
    <w:rsid w:val="277704D4"/>
    <w:rsid w:val="3106EBE3"/>
    <w:rsid w:val="33E328D1"/>
    <w:rsid w:val="33EA1A9B"/>
    <w:rsid w:val="3757146A"/>
    <w:rsid w:val="3D2FF415"/>
    <w:rsid w:val="4A19B2CB"/>
    <w:rsid w:val="4FACC830"/>
    <w:rsid w:val="52CB3187"/>
    <w:rsid w:val="5672E9FB"/>
    <w:rsid w:val="5882A72C"/>
    <w:rsid w:val="5EE82EF9"/>
    <w:rsid w:val="60C68C1B"/>
    <w:rsid w:val="6142FC8C"/>
    <w:rsid w:val="621CEE01"/>
    <w:rsid w:val="665AB924"/>
    <w:rsid w:val="695339E1"/>
    <w:rsid w:val="6A323F18"/>
    <w:rsid w:val="6B552B09"/>
    <w:rsid w:val="706A4030"/>
    <w:rsid w:val="75DB2E61"/>
    <w:rsid w:val="770C976F"/>
    <w:rsid w:val="7772571C"/>
    <w:rsid w:val="79D96BF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1B96"/>
  <w15:docId w15:val="{CD5278EC-5077-4183-B2C0-A91816B8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363" w:lineRule="auto"/>
      <w:ind w:left="10" w:right="2"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234" w:line="259" w:lineRule="auto"/>
      <w:ind w:left="10" w:right="5" w:hanging="10"/>
      <w:jc w:val="center"/>
      <w:outlineLvl w:val="0"/>
    </w:pPr>
    <w:rPr>
      <w:rFonts w:ascii="Times New Roman" w:eastAsia="Times New Roman" w:hAnsi="Times New Roman" w:cs="Times New Roman"/>
      <w:b/>
      <w:color w:val="000000"/>
      <w:u w:val="single" w:color="000000"/>
    </w:rPr>
  </w:style>
  <w:style w:type="paragraph" w:styleId="Ttulo2">
    <w:name w:val="heading 2"/>
    <w:next w:val="Normal"/>
    <w:link w:val="Ttulo2Char"/>
    <w:uiPriority w:val="9"/>
    <w:unhideWhenUsed/>
    <w:qFormat/>
    <w:pPr>
      <w:keepNext/>
      <w:keepLines/>
      <w:spacing w:after="234" w:line="259" w:lineRule="auto"/>
      <w:ind w:left="2274" w:hanging="10"/>
      <w:jc w:val="center"/>
      <w:outlineLvl w:val="1"/>
    </w:pPr>
    <w:rPr>
      <w:rFonts w:ascii="Times New Roman" w:eastAsia="Times New Roman" w:hAnsi="Times New Roman" w:cs="Times New Roman"/>
      <w:b/>
      <w:color w:val="000000"/>
    </w:rPr>
  </w:style>
  <w:style w:type="paragraph" w:styleId="Ttulo3">
    <w:name w:val="heading 3"/>
    <w:next w:val="Normal"/>
    <w:link w:val="Ttulo3Char"/>
    <w:uiPriority w:val="9"/>
    <w:unhideWhenUsed/>
    <w:qFormat/>
    <w:pPr>
      <w:keepNext/>
      <w:keepLines/>
      <w:spacing w:after="241" w:line="259" w:lineRule="auto"/>
      <w:ind w:left="10" w:hanging="10"/>
      <w:outlineLvl w:val="2"/>
    </w:pPr>
    <w:rPr>
      <w:rFonts w:ascii="Times New Roman" w:eastAsia="Times New Roman" w:hAnsi="Times New Roman" w:cs="Times New Roman"/>
      <w:b/>
      <w:color w:val="000000"/>
      <w:sz w:val="19"/>
      <w:u w:val="single" w:color="000000"/>
    </w:rPr>
  </w:style>
  <w:style w:type="paragraph" w:styleId="Ttulo4">
    <w:name w:val="heading 4"/>
    <w:next w:val="Normal"/>
    <w:link w:val="Ttulo4Char"/>
    <w:uiPriority w:val="9"/>
    <w:unhideWhenUsed/>
    <w:qFormat/>
    <w:pPr>
      <w:keepNext/>
      <w:keepLines/>
      <w:spacing w:after="241" w:line="259" w:lineRule="auto"/>
      <w:ind w:left="10" w:hanging="10"/>
      <w:outlineLvl w:val="3"/>
    </w:pPr>
    <w:rPr>
      <w:rFonts w:ascii="Times New Roman" w:eastAsia="Times New Roman" w:hAnsi="Times New Roman" w:cs="Times New Roman"/>
      <w:b/>
      <w:color w:val="000000"/>
      <w:sz w:val="19"/>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Times New Roman" w:eastAsia="Times New Roman" w:hAnsi="Times New Roman" w:cs="Times New Roman"/>
      <w:b/>
      <w:color w:val="000000"/>
      <w:sz w:val="24"/>
    </w:rPr>
  </w:style>
  <w:style w:type="character" w:customStyle="1" w:styleId="Ttulo1Char">
    <w:name w:val="Título 1 Char"/>
    <w:link w:val="Ttulo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44" w:lineRule="auto"/>
      <w:ind w:right="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Ttulo3Char">
    <w:name w:val="Título 3 Char"/>
    <w:link w:val="Ttulo3"/>
    <w:rPr>
      <w:rFonts w:ascii="Times New Roman" w:eastAsia="Times New Roman" w:hAnsi="Times New Roman" w:cs="Times New Roman"/>
      <w:b/>
      <w:color w:val="000000"/>
      <w:sz w:val="19"/>
      <w:u w:val="single" w:color="000000"/>
    </w:rPr>
  </w:style>
  <w:style w:type="character" w:customStyle="1" w:styleId="Ttulo4Char">
    <w:name w:val="Título 4 Char"/>
    <w:link w:val="Ttulo4"/>
    <w:rPr>
      <w:rFonts w:ascii="Times New Roman" w:eastAsia="Times New Roman" w:hAnsi="Times New Roman" w:cs="Times New Roman"/>
      <w:b/>
      <w:color w:val="000000"/>
      <w:sz w:val="19"/>
      <w:u w:val="single" w:color="00000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deGradeClara">
    <w:name w:val="Grid Table Light"/>
    <w:basedOn w:val="Tabe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bealho">
    <w:name w:val="header"/>
    <w:basedOn w:val="Normal"/>
    <w:link w:val="CabealhoChar"/>
    <w:uiPriority w:val="99"/>
    <w:semiHidden/>
    <w:unhideWhenUsed/>
    <w:rsid w:val="00F61A4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61A42"/>
    <w:rPr>
      <w:rFonts w:ascii="Times New Roman" w:eastAsia="Times New Roman" w:hAnsi="Times New Roman" w:cs="Times New Roman"/>
      <w:color w:val="000000"/>
    </w:rPr>
  </w:style>
  <w:style w:type="paragraph" w:styleId="Rodap">
    <w:name w:val="footer"/>
    <w:basedOn w:val="Normal"/>
    <w:link w:val="RodapChar"/>
    <w:uiPriority w:val="99"/>
    <w:semiHidden/>
    <w:unhideWhenUsed/>
    <w:rsid w:val="00F61A4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61A42"/>
    <w:rPr>
      <w:rFonts w:ascii="Times New Roman" w:eastAsia="Times New Roman" w:hAnsi="Times New Roman" w:cs="Times New Roman"/>
      <w:color w:val="000000"/>
    </w:rPr>
  </w:style>
  <w:style w:type="paragraph" w:styleId="PargrafodaLista">
    <w:name w:val="List Paragraph"/>
    <w:basedOn w:val="Normal"/>
    <w:uiPriority w:val="34"/>
    <w:qFormat/>
    <w:rsid w:val="00555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78FF0BE77FB243B3132724B19C2E5C" ma:contentTypeVersion="11" ma:contentTypeDescription="Crie um novo documento." ma:contentTypeScope="" ma:versionID="8dbeb6a1edc5e77a5a2cd250f8e10364">
  <xsd:schema xmlns:xsd="http://www.w3.org/2001/XMLSchema" xmlns:xs="http://www.w3.org/2001/XMLSchema" xmlns:p="http://schemas.microsoft.com/office/2006/metadata/properties" xmlns:ns2="69117114-bfa3-4e09-b64f-c83bab267748" xmlns:ns3="449f1b78-8426-4259-8644-02ee3c5d55e2" targetNamespace="http://schemas.microsoft.com/office/2006/metadata/properties" ma:root="true" ma:fieldsID="029b0c0c1399a1cc31e45e02aee23a7a" ns2:_="" ns3:_="">
    <xsd:import namespace="69117114-bfa3-4e09-b64f-c83bab267748"/>
    <xsd:import namespace="449f1b78-8426-4259-8644-02ee3c5d5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7114-bfa3-4e09-b64f-c83bab267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09e0922a-a576-4ac9-82f5-36725c33d7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f1b78-8426-4259-8644-02ee3c5d5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5a3b1c-bc4e-425c-9370-40b33a3141f1}" ma:internalName="TaxCatchAll" ma:showField="CatchAllData" ma:web="449f1b78-8426-4259-8644-02ee3c5d5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117114-bfa3-4e09-b64f-c83bab267748">
      <Terms xmlns="http://schemas.microsoft.com/office/infopath/2007/PartnerControls"/>
    </lcf76f155ced4ddcb4097134ff3c332f>
    <TaxCatchAll xmlns="449f1b78-8426-4259-8644-02ee3c5d55e2" xsi:nil="true"/>
  </documentManagement>
</p:properties>
</file>

<file path=customXml/itemProps1.xml><?xml version="1.0" encoding="utf-8"?>
<ds:datastoreItem xmlns:ds="http://schemas.openxmlformats.org/officeDocument/2006/customXml" ds:itemID="{88D6B3A2-4C8B-4F80-8451-16B0F6AE1F79}">
  <ds:schemaRefs>
    <ds:schemaRef ds:uri="http://schemas.microsoft.com/sharepoint/v3/contenttype/forms"/>
  </ds:schemaRefs>
</ds:datastoreItem>
</file>

<file path=customXml/itemProps2.xml><?xml version="1.0" encoding="utf-8"?>
<ds:datastoreItem xmlns:ds="http://schemas.openxmlformats.org/officeDocument/2006/customXml" ds:itemID="{E0270380-4F05-4F7E-986B-9089017A1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7114-bfa3-4e09-b64f-c83bab267748"/>
    <ds:schemaRef ds:uri="449f1b78-8426-4259-8644-02ee3c5d5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B8B10-96D8-4195-84F0-2467DA95A943}">
  <ds:schemaRefs>
    <ds:schemaRef ds:uri="http://schemas.microsoft.com/office/2006/metadata/properties"/>
    <ds:schemaRef ds:uri="http://schemas.microsoft.com/office/infopath/2007/PartnerControls"/>
    <ds:schemaRef ds:uri="69117114-bfa3-4e09-b64f-c83bab267748"/>
    <ds:schemaRef ds:uri="449f1b78-8426-4259-8644-02ee3c5d55e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1940</Words>
  <Characters>10482</Characters>
  <Application>Microsoft Office Word</Application>
  <DocSecurity>0</DocSecurity>
  <Lines>87</Lines>
  <Paragraphs>24</Paragraphs>
  <ScaleCrop>false</ScaleCrop>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ALONSO LOPEZ CID</dc:creator>
  <cp:keywords/>
  <cp:lastModifiedBy>CARLA SUZANA DE SA CAMPOS CANAVEZZI</cp:lastModifiedBy>
  <cp:revision>14</cp:revision>
  <dcterms:created xsi:type="dcterms:W3CDTF">2025-09-16T21:11:00Z</dcterms:created>
  <dcterms:modified xsi:type="dcterms:W3CDTF">2025-09-22T19:02:00Z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0x0101001978FF0BE77FB243B3132724B19C2E5C</vt:lpwstr>
  </property>
  <property fmtid="{D5CDD505-2E9C-101B-9397-08002B2CF9AE}" pid="3" name="MediaServiceImageTags">
    <vt:lpwstr/>
  </property>
</Properties>
</file>